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b/>
          <w:bCs/>
          <w:color w:val="000000" w:themeColor="text1"/>
          <w:sz w:val="52"/>
          <w:szCs w:val="52"/>
          <w:highlight w:val="none"/>
        </w:rPr>
      </w:pPr>
      <w:r>
        <w:rPr>
          <w:rFonts w:ascii="宋体" w:hAnsi="宋体"/>
          <w:b/>
          <w:bCs/>
          <w:color w:val="000000" w:themeColor="text1"/>
          <w:sz w:val="52"/>
          <w:szCs w:val="52"/>
          <w:highlight w:val="none"/>
        </w:rPr>
        <w:tab/>
      </w:r>
      <w:r>
        <w:rPr>
          <w:color w:val="000000" w:themeColor="text1"/>
          <w:highlight w:val="none"/>
        </w:rPr>
      </w:r>
    </w:p>
    <w:p>
      <w:pPr>
        <w:jc w:val="left"/>
        <w:tabs>
          <w:tab w:val="left" w:pos="6919" w:leader="none"/>
        </w:tabs>
        <w:rPr>
          <w:rFonts w:hint="eastAsia" w:ascii="宋体" w:hAnsi="宋体"/>
          <w:b/>
          <w:bCs/>
          <w:color w:val="000000" w:themeColor="text1"/>
          <w:sz w:val="52"/>
          <w:szCs w:val="52"/>
          <w:highlight w:val="none"/>
        </w:rPr>
      </w:pPr>
      <w:r>
        <w:rPr>
          <w:rFonts w:hint="eastAsia" w:ascii="宋体" w:hAnsi="宋体"/>
          <w:b/>
          <w:bCs/>
          <w:color w:val="000000" w:themeColor="text1"/>
          <w:sz w:val="52"/>
          <w:szCs w:val="52"/>
          <w:highlight w:val="none"/>
        </w:rPr>
        <w:tab/>
      </w:r>
      <w:r>
        <w:rPr>
          <w:color w:val="000000" w:themeColor="text1"/>
          <w:highlight w:val="none"/>
        </w:rPr>
      </w:r>
    </w:p>
    <w:p>
      <w:pPr>
        <w:jc w:val="center"/>
        <w:rPr>
          <w:rFonts w:hint="eastAsia" w:ascii="宋体" w:hAnsi="宋体"/>
          <w:b/>
          <w:bCs/>
          <w:color w:val="000000" w:themeColor="text1"/>
          <w:sz w:val="52"/>
          <w:szCs w:val="52"/>
          <w:highlight w:val="none"/>
        </w:rPr>
      </w:pPr>
      <w:r>
        <w:rPr>
          <w:rFonts w:hint="eastAsia" w:ascii="宋体" w:hAnsi="宋体"/>
          <w:b/>
          <w:bCs/>
          <w:color w:val="000000" w:themeColor="text1"/>
          <w:sz w:val="52"/>
          <w:szCs w:val="52"/>
          <w:highlight w:val="none"/>
        </w:rPr>
        <w:t xml:space="preserve">苏 州 市 政 府 采 购</w:t>
      </w:r>
      <w:r>
        <w:rPr>
          <w:color w:val="000000" w:themeColor="text1"/>
          <w:highlight w:val="none"/>
        </w:rPr>
      </w:r>
    </w:p>
    <w:p>
      <w:pPr>
        <w:jc w:val="center"/>
        <w:rPr>
          <w:rFonts w:ascii="Times New Roman" w:hAnsi="Times New Roman" w:eastAsia="黑体"/>
          <w:b/>
          <w:color w:val="000000" w:themeColor="text1"/>
          <w:sz w:val="52"/>
          <w:szCs w:val="52"/>
          <w:highlight w:val="none"/>
        </w:rPr>
      </w:pPr>
      <w:r>
        <w:rPr>
          <w:rFonts w:hint="eastAsia" w:ascii="宋体" w:hAnsi="宋体"/>
          <w:b/>
          <w:bCs/>
          <w:color w:val="000000" w:themeColor="text1"/>
          <w:sz w:val="52"/>
          <w:szCs w:val="52"/>
          <w:highlight w:val="none"/>
        </w:rPr>
        <w:t xml:space="preserve">竞争性磋商文件</w:t>
      </w:r>
      <w:r>
        <w:rPr>
          <w:color w:val="000000" w:themeColor="text1"/>
          <w:highlight w:val="none"/>
        </w:rPr>
      </w:r>
    </w:p>
    <w:p>
      <w:pPr>
        <w:jc w:val="center"/>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highlight w:val="none"/>
        </w:rPr>
      </w:r>
    </w:p>
    <w:p>
      <w:pPr>
        <w:rPr>
          <w:rFonts w:ascii="Times New Roman" w:hAnsi="Times New Roman"/>
          <w:color w:val="000000" w:themeColor="text1"/>
          <w:sz w:val="32"/>
          <w:szCs w:val="32"/>
          <w:highlight w:val="none"/>
        </w:rPr>
      </w:pPr>
      <w:r>
        <w:rPr>
          <w:rFonts w:ascii="Times New Roman" w:hAnsi="Times New Roman"/>
          <w:color w:val="000000" w:themeColor="text1"/>
          <w:sz w:val="32"/>
          <w:szCs w:val="32"/>
          <w:highlight w:val="none"/>
        </w:rPr>
      </w:r>
      <w:r>
        <w:rPr>
          <w:color w:val="000000" w:themeColor="text1"/>
          <w:highlight w:val="none"/>
        </w:rPr>
      </w:r>
    </w:p>
    <w:p>
      <w:pPr>
        <w:rPr>
          <w:rFonts w:ascii="Times New Roman" w:hAnsi="Times New Roman"/>
          <w:color w:val="000000" w:themeColor="text1"/>
          <w:sz w:val="32"/>
          <w:szCs w:val="32"/>
          <w:highlight w:val="none"/>
        </w:rPr>
      </w:pPr>
      <w:r>
        <w:rPr>
          <w:rFonts w:ascii="Times New Roman" w:hAnsi="Times New Roman"/>
          <w:color w:val="000000" w:themeColor="text1"/>
          <w:sz w:val="32"/>
          <w:szCs w:val="32"/>
          <w:highlight w:val="none"/>
        </w:rPr>
      </w:r>
      <w:r>
        <w:rPr>
          <w:color w:val="000000" w:themeColor="text1"/>
          <w:highlight w:val="none"/>
        </w:rPr>
      </w:r>
    </w:p>
    <w:p>
      <w:pPr>
        <w:rPr>
          <w:rFonts w:ascii="Times New Roman" w:hAnsi="Times New Roman"/>
          <w:color w:val="000000" w:themeColor="text1"/>
          <w:sz w:val="32"/>
          <w:szCs w:val="32"/>
          <w:highlight w:val="none"/>
        </w:rPr>
      </w:pPr>
      <w:r>
        <w:rPr>
          <w:rFonts w:ascii="Times New Roman" w:hAnsi="Times New Roman"/>
          <w:color w:val="000000" w:themeColor="text1"/>
          <w:sz w:val="32"/>
          <w:szCs w:val="32"/>
          <w:highlight w:val="none"/>
        </w:rPr>
      </w:r>
      <w:r>
        <w:rPr>
          <w:color w:val="000000" w:themeColor="text1"/>
          <w:highlight w:val="none"/>
        </w:rPr>
      </w:r>
    </w:p>
    <w:p>
      <w:pPr>
        <w:jc w:val="center"/>
        <w:rPr>
          <w:rFonts w:ascii="Times New Roman" w:hAnsi="Times New Roman"/>
          <w:color w:val="000000" w:themeColor="text1"/>
          <w:sz w:val="32"/>
          <w:szCs w:val="32"/>
          <w:highlight w:val="none"/>
        </w:rPr>
      </w:pPr>
      <w:r>
        <w:rPr>
          <w:rFonts w:ascii="Times New Roman" w:hAnsi="Times New Roman"/>
          <w:color w:val="000000" w:themeColor="text1"/>
          <w:sz w:val="32"/>
          <w:szCs w:val="32"/>
          <w:highlight w:val="none"/>
        </w:rPr>
      </w:r>
      <w:r>
        <w:rPr>
          <w:color w:val="000000" w:themeColor="text1"/>
          <w:highlight w:val="none"/>
        </w:rPr>
      </w:r>
    </w:p>
    <w:p>
      <w:pPr>
        <w:rPr>
          <w:rFonts w:ascii="Times New Roman" w:hAnsi="Times New Roman"/>
          <w:color w:val="000000" w:themeColor="text1"/>
          <w:sz w:val="32"/>
          <w:szCs w:val="32"/>
          <w:highlight w:val="none"/>
        </w:rPr>
      </w:pPr>
      <w:r>
        <w:rPr>
          <w:rFonts w:ascii="Times New Roman" w:hAnsi="Times New Roman"/>
          <w:color w:val="000000" w:themeColor="text1"/>
          <w:sz w:val="32"/>
          <w:szCs w:val="32"/>
          <w:highlight w:val="none"/>
        </w:rPr>
      </w:r>
      <w:r>
        <w:rPr>
          <w:color w:val="000000" w:themeColor="text1"/>
          <w:highlight w:val="none"/>
        </w:rPr>
      </w:r>
    </w:p>
    <w:p>
      <w:pPr>
        <w:ind w:firstLine="1699"/>
        <w:jc w:val="left"/>
        <w:spacing w:line="360" w:lineRule="auto"/>
        <w:rPr>
          <w:rFonts w:ascii="Times New Roman" w:hAnsi="Times New Roman"/>
          <w:b/>
          <w:color w:val="000000" w:themeColor="text1"/>
          <w:sz w:val="32"/>
          <w:szCs w:val="32"/>
          <w:highlight w:val="none"/>
        </w:rPr>
      </w:pPr>
      <w:r>
        <w:rPr>
          <w:rFonts w:hint="eastAsia" w:ascii="Times New Roman" w:hAnsi="Times New Roman"/>
          <w:b/>
          <w:color w:val="000000" w:themeColor="text1"/>
          <w:sz w:val="32"/>
          <w:szCs w:val="32"/>
          <w:highlight w:val="none"/>
        </w:rPr>
        <w:t xml:space="preserve">采购编号：</w:t>
      </w:r>
      <w:r>
        <w:rPr>
          <w:rFonts w:ascii="Times New Roman" w:hAnsi="Times New Roman"/>
          <w:b/>
          <w:color w:val="000000" w:themeColor="text1"/>
          <w:sz w:val="32"/>
          <w:szCs w:val="32"/>
          <w:highlight w:val="none"/>
        </w:rPr>
        <w:t xml:space="preserve">JSZC-320500-SZJN-C2025-0014</w:t>
      </w:r>
      <w:r>
        <w:rPr>
          <w:color w:val="000000" w:themeColor="text1"/>
          <w:highlight w:val="none"/>
        </w:rPr>
      </w:r>
    </w:p>
    <w:p>
      <w:pPr>
        <w:ind w:firstLine="1699"/>
        <w:jc w:val="left"/>
        <w:spacing w:line="360" w:lineRule="auto"/>
        <w:rPr>
          <w:rFonts w:ascii="Times New Roman" w:hAnsi="Times New Roman"/>
          <w:b/>
          <w:color w:val="000000" w:themeColor="text1"/>
          <w:sz w:val="32"/>
          <w:szCs w:val="32"/>
          <w:highlight w:val="none"/>
        </w:rPr>
      </w:pPr>
      <w:r>
        <w:rPr>
          <w:rFonts w:hint="eastAsia" w:ascii="Times New Roman" w:hAnsi="Times New Roman"/>
          <w:b/>
          <w:color w:val="000000" w:themeColor="text1"/>
          <w:sz w:val="32"/>
          <w:szCs w:val="32"/>
          <w:highlight w:val="none"/>
        </w:rPr>
        <w:t xml:space="preserve">采购单位：</w:t>
      </w:r>
      <w:r>
        <w:rPr>
          <w:rFonts w:hint="eastAsia" w:ascii="Times New Roman" w:hAnsi="Times New Roman"/>
          <w:b/>
          <w:color w:val="000000" w:themeColor="text1"/>
          <w:sz w:val="32"/>
          <w:szCs w:val="32"/>
          <w:highlight w:val="none"/>
        </w:rPr>
        <w:t xml:space="preserve">苏州市社会福利总院</w:t>
      </w:r>
      <w:r>
        <w:rPr>
          <w:color w:val="000000" w:themeColor="text1"/>
          <w:highlight w:val="none"/>
        </w:rPr>
      </w:r>
    </w:p>
    <w:p>
      <w:pPr>
        <w:ind w:left="3259" w:hanging="1564"/>
        <w:jc w:val="left"/>
        <w:spacing w:line="360" w:lineRule="auto"/>
        <w:rPr>
          <w:rFonts w:ascii="Times New Roman" w:hAnsi="Times New Roman"/>
          <w:b/>
          <w:color w:val="000000" w:themeColor="text1"/>
          <w:sz w:val="32"/>
          <w:szCs w:val="32"/>
          <w:highlight w:val="none"/>
        </w:rPr>
      </w:pPr>
      <w:r>
        <w:rPr>
          <w:rFonts w:hint="eastAsia" w:ascii="Times New Roman" w:hAnsi="Times New Roman"/>
          <w:b/>
          <w:color w:val="000000" w:themeColor="text1"/>
          <w:sz w:val="32"/>
          <w:szCs w:val="32"/>
          <w:highlight w:val="none"/>
        </w:rPr>
        <w:t xml:space="preserve">采购内容：</w:t>
      </w:r>
      <w:r>
        <w:rPr>
          <w:rFonts w:hint="eastAsia" w:ascii="Times New Roman" w:hAnsi="Times New Roman"/>
          <w:b/>
          <w:color w:val="000000" w:themeColor="text1"/>
          <w:sz w:val="32"/>
          <w:szCs w:val="32"/>
          <w:highlight w:val="none"/>
        </w:rPr>
        <w:t xml:space="preserve">2026</w:t>
      </w:r>
      <w:r>
        <w:rPr>
          <w:rFonts w:hint="eastAsia" w:ascii="Times New Roman" w:hAnsi="Times New Roman"/>
          <w:b/>
          <w:color w:val="000000" w:themeColor="text1"/>
          <w:sz w:val="32"/>
          <w:szCs w:val="32"/>
          <w:highlight w:val="none"/>
        </w:rPr>
        <w:t xml:space="preserve">年度残疾儿童及青少年康复教育训练项目</w:t>
      </w:r>
      <w:r>
        <w:rPr>
          <w:color w:val="000000" w:themeColor="text1"/>
          <w:highlight w:val="none"/>
        </w:rPr>
      </w:r>
    </w:p>
    <w:p>
      <w:pPr>
        <w:ind w:firstLine="1699"/>
        <w:jc w:val="left"/>
        <w:spacing w:line="360" w:lineRule="auto"/>
        <w:rPr>
          <w:rFonts w:ascii="Times New Roman" w:hAnsi="Times New Roman"/>
          <w:b/>
          <w:color w:val="000000" w:themeColor="text1"/>
          <w:sz w:val="32"/>
          <w:szCs w:val="32"/>
          <w:highlight w:val="none"/>
        </w:rPr>
      </w:pPr>
      <w:r>
        <w:rPr>
          <w:rFonts w:hint="eastAsia" w:ascii="Times New Roman" w:hAnsi="Times New Roman"/>
          <w:b/>
          <w:color w:val="000000" w:themeColor="text1"/>
          <w:sz w:val="32"/>
          <w:szCs w:val="32"/>
          <w:highlight w:val="none"/>
        </w:rPr>
        <w:t xml:space="preserve">项目类别：服务类</w:t>
      </w:r>
      <w:r>
        <w:rPr>
          <w:color w:val="000000" w:themeColor="text1"/>
          <w:highlight w:val="none"/>
        </w:rPr>
      </w:r>
    </w:p>
    <w:p>
      <w:pPr>
        <w:spacing w:line="360" w:lineRule="auto"/>
        <w:rPr>
          <w:rFonts w:ascii="Times New Roman" w:hAnsi="Times New Roman"/>
          <w:b/>
          <w:color w:val="000000" w:themeColor="text1"/>
          <w:spacing w:val="-26"/>
          <w:sz w:val="24"/>
          <w:highlight w:val="none"/>
        </w:rPr>
      </w:pPr>
      <w:r>
        <w:rPr>
          <w:rFonts w:ascii="Times New Roman" w:hAnsi="Times New Roman"/>
          <w:b/>
          <w:color w:val="000000" w:themeColor="text1"/>
          <w:spacing w:val="-26"/>
          <w:sz w:val="24"/>
          <w:highlight w:val="none"/>
        </w:rPr>
      </w:r>
      <w:r>
        <w:rPr>
          <w:color w:val="000000" w:themeColor="text1"/>
          <w:highlight w:val="none"/>
        </w:rPr>
      </w:r>
    </w:p>
    <w:p>
      <w:pPr>
        <w:jc w:val="left"/>
        <w:rPr>
          <w:rFonts w:ascii="Times New Roman" w:hAnsi="Times New Roman" w:eastAsia="楷体_GB2312"/>
          <w:color w:val="000000" w:themeColor="text1"/>
          <w:sz w:val="24"/>
          <w:highlight w:val="none"/>
        </w:rPr>
      </w:pPr>
      <w:r>
        <w:rPr>
          <w:rFonts w:ascii="Times New Roman" w:hAnsi="Times New Roman" w:eastAsia="楷体_GB2312"/>
          <w:color w:val="000000" w:themeColor="text1"/>
          <w:sz w:val="24"/>
          <w:highlight w:val="none"/>
        </w:rPr>
      </w:r>
      <w:r>
        <w:rPr>
          <w:color w:val="000000" w:themeColor="text1"/>
          <w:highlight w:val="none"/>
        </w:rPr>
      </w:r>
    </w:p>
    <w:p>
      <w:pPr>
        <w:rPr>
          <w:rFonts w:ascii="Times New Roman" w:hAnsi="Times New Roman"/>
          <w:color w:val="000000" w:themeColor="text1"/>
          <w:szCs w:val="20"/>
          <w:highlight w:val="none"/>
        </w:rPr>
      </w:pPr>
      <w:r>
        <w:rPr>
          <w:rFonts w:ascii="Times New Roman" w:hAnsi="Times New Roman"/>
          <w:color w:val="000000" w:themeColor="text1"/>
          <w:szCs w:val="20"/>
          <w:highlight w:val="none"/>
        </w:rPr>
      </w:r>
      <w:r>
        <w:rPr>
          <w:color w:val="000000" w:themeColor="text1"/>
          <w:highlight w:val="none"/>
        </w:rPr>
      </w:r>
    </w:p>
    <w:p>
      <w:pPr>
        <w:rPr>
          <w:rFonts w:ascii="Times New Roman" w:hAnsi="Times New Roman"/>
          <w:color w:val="000000" w:themeColor="text1"/>
          <w:szCs w:val="20"/>
          <w:highlight w:val="none"/>
        </w:rPr>
      </w:pPr>
      <w:r>
        <w:rPr>
          <w:rFonts w:ascii="Times New Roman" w:hAnsi="Times New Roman"/>
          <w:color w:val="000000" w:themeColor="text1"/>
          <w:szCs w:val="20"/>
          <w:highlight w:val="none"/>
        </w:rPr>
      </w:r>
      <w:r>
        <w:rPr>
          <w:color w:val="000000" w:themeColor="text1"/>
          <w:highlight w:val="none"/>
        </w:rPr>
      </w:r>
    </w:p>
    <w:p>
      <w:pPr>
        <w:pStyle w:val="747"/>
        <w:ind w:left="0" w:firstLine="0"/>
        <w:jc w:val="center"/>
        <w:rPr>
          <w:rFonts w:ascii="宋体" w:hAnsi="Times New Roman" w:eastAsia="楷体_GB2312"/>
          <w:color w:val="000000" w:themeColor="text1"/>
          <w:sz w:val="24"/>
          <w:highlight w:val="none"/>
        </w:rPr>
      </w:pPr>
      <w:r>
        <w:rPr>
          <w:rFonts w:hint="eastAsia"/>
          <w:color w:val="000000" w:themeColor="text1"/>
          <w:highlight w:val="none"/>
        </w:rPr>
        <mc:AlternateContent>
          <mc:Choice Requires="wpg">
            <w:drawing>
              <wp:inline xmlns:wp="http://schemas.openxmlformats.org/drawingml/2006/wordprocessingDrawing" distT="0" distB="0" distL="0" distR="0">
                <wp:extent cx="988484" cy="9398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pic:cNvPicPr>
                        <pic:nvPr/>
                      </pic:nvPicPr>
                      <pic:blipFill>
                        <a:blip r:embed="rId11"/>
                        <a:stretch/>
                      </pic:blipFill>
                      <pic:spPr bwMode="auto">
                        <a:xfrm>
                          <a:off x="0" y="0"/>
                          <a:ext cx="988484" cy="93980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8pt;height:74.0pt;mso-wrap-distance-left:0.0pt;mso-wrap-distance-top:0.0pt;mso-wrap-distance-right:0.0pt;mso-wrap-distance-bottom:0.0pt;" stroked="false">
                <v:path textboxrect="0,0,0,0"/>
                <v:imagedata r:id="rId11" o:title=""/>
              </v:shape>
            </w:pict>
          </mc:Fallback>
        </mc:AlternateContent>
      </w:r>
      <w:r>
        <w:rPr>
          <w:color w:val="000000" w:themeColor="text1"/>
          <w:highlight w:val="none"/>
        </w:rPr>
      </w:r>
    </w:p>
    <w:p>
      <w:pPr>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p>
    <w:p>
      <w:pPr>
        <w:ind w:right="-506"/>
        <w:jc w:val="center"/>
        <w:spacing w:line="360" w:lineRule="auto"/>
        <w:rPr>
          <w:rFonts w:ascii="Times New Roman" w:hAnsi="Times New Roman"/>
          <w:b/>
          <w:color w:val="000000" w:themeColor="text1"/>
          <w:sz w:val="32"/>
          <w:szCs w:val="32"/>
          <w:highlight w:val="none"/>
        </w:rPr>
      </w:pPr>
      <w:r>
        <w:rPr>
          <w:rFonts w:hint="eastAsia" w:ascii="Times New Roman" w:hAnsi="Times New Roman"/>
          <w:b/>
          <w:color w:val="000000" w:themeColor="text1"/>
          <w:sz w:val="32"/>
          <w:szCs w:val="32"/>
          <w:highlight w:val="none"/>
        </w:rPr>
        <w:t xml:space="preserve">苏州久诺招投标咨询服务有限公司</w:t>
      </w:r>
      <w:r>
        <w:rPr>
          <w:color w:val="000000" w:themeColor="text1"/>
          <w:highlight w:val="none"/>
        </w:rPr>
      </w:r>
    </w:p>
    <w:p>
      <w:pPr>
        <w:ind w:right="-506"/>
        <w:jc w:val="center"/>
        <w:spacing w:line="360" w:lineRule="auto"/>
        <w:rPr>
          <w:rFonts w:ascii="Times New Roman" w:hAnsi="Times New Roman"/>
          <w:b/>
          <w:color w:val="000000" w:themeColor="text1"/>
          <w:sz w:val="32"/>
          <w:szCs w:val="32"/>
          <w:highlight w:val="none"/>
        </w:rPr>
      </w:pPr>
      <w:r>
        <w:rPr>
          <w:rFonts w:hint="eastAsia" w:ascii="Times New Roman" w:hAnsi="Times New Roman"/>
          <w:b/>
          <w:color w:val="000000" w:themeColor="text1"/>
          <w:sz w:val="32"/>
          <w:szCs w:val="32"/>
          <w:highlight w:val="none"/>
        </w:rPr>
        <w:t xml:space="preserve">二○二五年</w:t>
      </w:r>
      <w:r>
        <w:rPr>
          <w:rFonts w:hint="eastAsia" w:ascii="Times New Roman" w:hAnsi="Times New Roman"/>
          <w:b/>
          <w:color w:val="000000" w:themeColor="text1"/>
          <w:sz w:val="32"/>
          <w:szCs w:val="32"/>
          <w:highlight w:val="none"/>
        </w:rPr>
        <w:t xml:space="preserve">十一</w:t>
      </w:r>
      <w:r>
        <w:rPr>
          <w:rFonts w:hint="eastAsia" w:ascii="Times New Roman" w:hAnsi="Times New Roman"/>
          <w:b/>
          <w:color w:val="000000" w:themeColor="text1"/>
          <w:sz w:val="32"/>
          <w:szCs w:val="32"/>
          <w:highlight w:val="none"/>
        </w:rPr>
        <w:t xml:space="preserve">月</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rPr>
          <w:rFonts w:ascii="黑体" w:eastAsia="黑体"/>
          <w:b/>
          <w:bCs/>
          <w:color w:val="000000" w:themeColor="text1"/>
          <w:sz w:val="52"/>
          <w:szCs w:val="52"/>
          <w:highlight w:val="none"/>
        </w:rPr>
      </w:pPr>
      <w:r>
        <w:rPr>
          <w:rFonts w:hint="eastAsia" w:ascii="黑体" w:eastAsia="黑体"/>
          <w:b/>
          <w:color w:val="000000" w:themeColor="text1"/>
          <w:sz w:val="52"/>
          <w:szCs w:val="52"/>
          <w:highlight w:val="none"/>
        </w:rPr>
        <w:br w:type="page" w:clear="all"/>
      </w:r>
      <w:r>
        <w:rPr>
          <w:rFonts w:hint="eastAsia" w:ascii="黑体" w:eastAsia="黑体"/>
          <w:b/>
          <w:color w:val="000000" w:themeColor="text1"/>
          <w:sz w:val="52"/>
          <w:szCs w:val="52"/>
          <w:highlight w:val="none"/>
        </w:rPr>
        <w:t xml:space="preserve">目    录</w:t>
      </w:r>
      <w:r>
        <w:rPr>
          <w:color w:val="000000" w:themeColor="text1"/>
          <w:highlight w:val="none"/>
        </w:rPr>
      </w:r>
    </w:p>
    <w:p>
      <w:pPr>
        <w:jc w:val="center"/>
        <w:tabs>
          <w:tab w:val="left" w:pos="315" w:leader="none"/>
          <w:tab w:val="center" w:pos="4153" w:leader="none"/>
        </w:tabs>
        <w:rPr>
          <w:rFonts w:ascii="黑体" w:eastAsia="黑体"/>
          <w:b/>
          <w:color w:val="000000" w:themeColor="text1"/>
          <w:sz w:val="52"/>
          <w:szCs w:val="52"/>
          <w:highlight w:val="none"/>
        </w:rPr>
      </w:pPr>
      <w:r>
        <w:rPr>
          <w:rFonts w:ascii="黑体" w:eastAsia="黑体"/>
          <w:b/>
          <w:color w:val="000000" w:themeColor="text1"/>
          <w:sz w:val="52"/>
          <w:szCs w:val="52"/>
          <w:highlight w:val="none"/>
        </w:rPr>
      </w:r>
      <w:r>
        <w:rPr>
          <w:color w:val="000000" w:themeColor="text1"/>
          <w:highlight w:val="none"/>
        </w:rPr>
      </w:r>
    </w:p>
    <w:p>
      <w:pPr>
        <w:spacing w:line="360" w:lineRule="auto"/>
        <w:tabs>
          <w:tab w:val="left" w:pos="315" w:leader="none"/>
          <w:tab w:val="center" w:pos="4153" w:leader="none"/>
        </w:tabs>
        <w:rPr>
          <w:rFonts w:hint="eastAsia" w:ascii="宋体" w:hAnsi="宋体"/>
          <w:color w:val="000000" w:themeColor="text1"/>
          <w:sz w:val="32"/>
          <w:szCs w:val="32"/>
          <w:highlight w:val="none"/>
        </w:rPr>
      </w:pPr>
      <w:r>
        <w:rPr>
          <w:rFonts w:hint="eastAsia" w:ascii="宋体" w:hAnsi="宋体"/>
          <w:color w:val="000000" w:themeColor="text1"/>
          <w:sz w:val="32"/>
          <w:szCs w:val="32"/>
          <w:highlight w:val="none"/>
        </w:rPr>
        <w:t xml:space="preserve">一、磋商公告</w:t>
      </w:r>
      <w:r>
        <w:rPr>
          <w:color w:val="000000" w:themeColor="text1"/>
          <w:highlight w:val="none"/>
        </w:rPr>
      </w:r>
    </w:p>
    <w:p>
      <w:pPr>
        <w:spacing w:line="360" w:lineRule="auto"/>
        <w:tabs>
          <w:tab w:val="left" w:pos="315" w:leader="none"/>
          <w:tab w:val="center" w:pos="4153" w:leader="none"/>
        </w:tabs>
        <w:rPr>
          <w:rFonts w:hint="eastAsia" w:ascii="宋体" w:hAnsi="宋体"/>
          <w:color w:val="000000" w:themeColor="text1"/>
          <w:sz w:val="32"/>
          <w:szCs w:val="32"/>
          <w:highlight w:val="none"/>
        </w:rPr>
      </w:pPr>
      <w:r>
        <w:rPr>
          <w:rFonts w:hint="eastAsia" w:ascii="宋体" w:hAnsi="宋体"/>
          <w:color w:val="000000" w:themeColor="text1"/>
          <w:sz w:val="32"/>
          <w:szCs w:val="32"/>
          <w:highlight w:val="none"/>
        </w:rPr>
        <w:t xml:space="preserve">二、苏州市政府采购竞争性磋商文件</w:t>
      </w:r>
      <w:r>
        <w:rPr>
          <w:color w:val="000000" w:themeColor="text1"/>
          <w:highlight w:val="none"/>
        </w:rPr>
      </w:r>
    </w:p>
    <w:p>
      <w:pPr>
        <w:spacing w:line="360" w:lineRule="auto"/>
        <w:tabs>
          <w:tab w:val="left" w:pos="315" w:leader="none"/>
          <w:tab w:val="center" w:pos="4153" w:leader="none"/>
        </w:tabs>
        <w:rPr>
          <w:rFonts w:hint="eastAsia" w:ascii="宋体" w:hAnsi="宋体"/>
          <w:color w:val="000000" w:themeColor="text1"/>
          <w:sz w:val="32"/>
          <w:szCs w:val="32"/>
          <w:highlight w:val="none"/>
        </w:rPr>
      </w:pPr>
      <w:r>
        <w:rPr>
          <w:rFonts w:hint="eastAsia" w:ascii="宋体" w:hAnsi="宋体"/>
          <w:color w:val="000000" w:themeColor="text1"/>
          <w:sz w:val="32"/>
          <w:szCs w:val="32"/>
          <w:highlight w:val="none"/>
        </w:rPr>
        <w:t xml:space="preserve">三、评审方法及评分标准</w:t>
      </w:r>
      <w:r>
        <w:rPr>
          <w:color w:val="000000" w:themeColor="text1"/>
          <w:highlight w:val="none"/>
        </w:rPr>
      </w:r>
    </w:p>
    <w:p>
      <w:pPr>
        <w:spacing w:line="360" w:lineRule="auto"/>
        <w:tabs>
          <w:tab w:val="left" w:pos="315" w:leader="none"/>
          <w:tab w:val="center" w:pos="4153" w:leader="none"/>
        </w:tabs>
        <w:rPr>
          <w:rFonts w:hint="eastAsia" w:ascii="宋体" w:hAnsi="宋体"/>
          <w:color w:val="000000" w:themeColor="text1"/>
          <w:sz w:val="32"/>
          <w:szCs w:val="32"/>
          <w:highlight w:val="none"/>
        </w:rPr>
      </w:pPr>
      <w:r>
        <w:rPr>
          <w:rFonts w:hint="eastAsia" w:ascii="宋体" w:hAnsi="宋体"/>
          <w:color w:val="000000" w:themeColor="text1"/>
          <w:sz w:val="32"/>
          <w:szCs w:val="32"/>
          <w:highlight w:val="none"/>
        </w:rPr>
        <w:t xml:space="preserve">四、合同主要条款及格式</w:t>
      </w:r>
      <w:r>
        <w:rPr>
          <w:color w:val="000000" w:themeColor="text1"/>
          <w:highlight w:val="none"/>
        </w:rPr>
      </w:r>
    </w:p>
    <w:p>
      <w:pPr>
        <w:spacing w:line="360" w:lineRule="auto"/>
        <w:tabs>
          <w:tab w:val="left" w:pos="315" w:leader="none"/>
          <w:tab w:val="center" w:pos="4153" w:leader="none"/>
        </w:tabs>
        <w:rPr>
          <w:rFonts w:hint="eastAsia" w:ascii="宋体" w:hAnsi="宋体"/>
          <w:color w:val="000000" w:themeColor="text1"/>
          <w:sz w:val="32"/>
          <w:szCs w:val="32"/>
          <w:highlight w:val="none"/>
        </w:rPr>
      </w:pPr>
      <w:r>
        <w:rPr>
          <w:rFonts w:hint="eastAsia" w:ascii="宋体" w:hAnsi="宋体"/>
          <w:color w:val="000000" w:themeColor="text1"/>
          <w:sz w:val="32"/>
          <w:szCs w:val="32"/>
          <w:highlight w:val="none"/>
        </w:rPr>
        <w:t xml:space="preserve">五、磋商响应文件格式</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Fonts w:hint="eastAsia" w:ascii="宋体" w:hAnsi="宋体" w:cs="宋体"/>
          <w:color w:val="000000" w:themeColor="text1"/>
          <w:sz w:val="43"/>
          <w:szCs w:val="43"/>
          <w:highlight w:val="none"/>
        </w:rPr>
      </w:r>
      <w:r>
        <w:rPr>
          <w:color w:val="000000" w:themeColor="text1"/>
          <w:highlight w:val="none"/>
        </w:rPr>
      </w:r>
    </w:p>
    <w:p>
      <w:pPr>
        <w:rPr>
          <w:rFonts w:ascii="sans-serif" w:hAnsi="sans-serif" w:eastAsia="sans-serif" w:cs="sans-serif"/>
          <w:color w:val="000000" w:themeColor="text1"/>
          <w:highlight w:val="none"/>
        </w:rPr>
      </w:pPr>
      <w:r>
        <w:rPr>
          <w:rStyle w:val="848"/>
          <w:rFonts w:hint="eastAsia" w:ascii="宋体" w:hAnsi="宋体" w:cs="宋体"/>
          <w:color w:val="000000" w:themeColor="text1"/>
          <w:sz w:val="43"/>
          <w:szCs w:val="43"/>
          <w:highlight w:val="none"/>
        </w:rPr>
        <w:br w:type="page" w:clear="all"/>
      </w:r>
      <w:r>
        <w:rPr>
          <w:color w:val="000000" w:themeColor="text1"/>
          <w:highlight w:val="none"/>
        </w:rPr>
      </w:r>
    </w:p>
    <w:p>
      <w:pPr>
        <w:pStyle w:val="842"/>
        <w:jc w:val="center"/>
        <w:spacing w:before="75" w:beforeAutospacing="0" w:after="75" w:afterAutospacing="0" w:line="405" w:lineRule="atLeast"/>
        <w:widowControl/>
        <w:rPr>
          <w:rStyle w:val="848"/>
          <w:rFonts w:hint="eastAsia" w:ascii="宋体" w:hAnsi="宋体" w:cs="宋体"/>
          <w:color w:val="000000" w:themeColor="text1"/>
          <w:sz w:val="43"/>
          <w:szCs w:val="43"/>
          <w:highlight w:val="none"/>
        </w:rPr>
      </w:pPr>
      <w:r>
        <w:rPr>
          <w:rStyle w:val="848"/>
          <w:rFonts w:hint="eastAsia" w:ascii="宋体" w:hAnsi="宋体" w:cs="宋体"/>
          <w:color w:val="000000" w:themeColor="text1"/>
          <w:sz w:val="43"/>
          <w:szCs w:val="43"/>
          <w:highlight w:val="none"/>
        </w:rPr>
        <w:t xml:space="preserve">第一章 磋商公告</w:t>
      </w:r>
      <w:r>
        <w:rPr>
          <w:color w:val="000000" w:themeColor="text1"/>
          <w:highlight w:val="none"/>
        </w:rPr>
      </w:r>
    </w:p>
    <w:p>
      <w:pP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项目概况</w:t>
      </w:r>
      <w:r>
        <w:rPr>
          <w:color w:val="000000" w:themeColor="text1"/>
          <w:highlight w:val="none"/>
        </w:rPr>
      </w:r>
    </w:p>
    <w:p>
      <w:pP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2026年度残疾儿童及青少年康复教育训练项目</w:t>
      </w:r>
      <w:r>
        <w:rPr>
          <w:rFonts w:hint="eastAsia" w:ascii="宋体" w:hAnsi="宋体"/>
          <w:color w:val="000000" w:themeColor="text1"/>
          <w:sz w:val="24"/>
          <w:szCs w:val="24"/>
          <w:highlight w:val="none"/>
          <w:lang w:val="zh-CN"/>
        </w:rPr>
        <w:t xml:space="preserve">的潜在投标人应在苏采云系统获取招标文件，并于</w:t>
      </w:r>
      <w:r>
        <w:rPr>
          <w:rFonts w:hint="eastAsia" w:ascii="宋体" w:hAnsi="宋体" w:cs="宋体"/>
          <w:color w:val="000000" w:themeColor="text1"/>
          <w:sz w:val="24"/>
          <w:szCs w:val="24"/>
          <w:highlight w:val="none"/>
          <w:u w:val="single"/>
        </w:rPr>
        <w:t xml:space="preserve">2025年11</w:t>
      </w:r>
      <w:r>
        <w:rPr>
          <w:rFonts w:hint="eastAsia" w:ascii="宋体" w:hAnsi="宋体" w:cs="宋体"/>
          <w:color w:val="000000" w:themeColor="text1"/>
          <w:sz w:val="24"/>
          <w:szCs w:val="24"/>
          <w:highlight w:val="none"/>
          <w:u w:val="single"/>
        </w:rPr>
        <w:t xml:space="preserve">月</w:t>
      </w:r>
      <w:r>
        <w:rPr>
          <w:rFonts w:hint="eastAsia" w:ascii="宋体" w:hAnsi="宋体" w:cs="宋体"/>
          <w:color w:val="000000" w:themeColor="text1"/>
          <w:sz w:val="24"/>
          <w:szCs w:val="24"/>
          <w:highlight w:val="none"/>
          <w:u w:val="single"/>
        </w:rPr>
        <w:t xml:space="preserve">28日09点30分（北京时间）</w:t>
      </w:r>
      <w:r>
        <w:rPr>
          <w:rFonts w:hint="eastAsia" w:ascii="宋体" w:hAnsi="宋体"/>
          <w:color w:val="000000" w:themeColor="text1"/>
          <w:sz w:val="24"/>
          <w:szCs w:val="24"/>
          <w:highlight w:val="none"/>
          <w:lang w:val="zh-CN"/>
        </w:rPr>
        <w:t xml:space="preserve">（北京时间）前递交投标文件。</w:t>
      </w:r>
      <w:r>
        <w:rPr>
          <w:color w:val="000000" w:themeColor="text1"/>
          <w:highlight w:val="none"/>
        </w:rPr>
      </w:r>
    </w:p>
    <w:p>
      <w:pP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一、项目基本情况</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zh-CN"/>
        </w:rPr>
        <w:t xml:space="preserve">项目编号：</w:t>
      </w:r>
      <w:r>
        <w:rPr>
          <w:rFonts w:ascii="宋体" w:hAnsi="宋体"/>
          <w:color w:val="000000" w:themeColor="text1"/>
          <w:sz w:val="24"/>
          <w:szCs w:val="24"/>
          <w:highlight w:val="none"/>
          <w:lang w:val="zh-CN"/>
        </w:rPr>
        <w:t xml:space="preserve">JSZC-320500-SZJN-C2025-0014</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2.项目名称：</w:t>
      </w:r>
      <w:r>
        <w:rPr>
          <w:rFonts w:hint="eastAsia" w:ascii="宋体" w:hAnsi="宋体"/>
          <w:color w:val="000000" w:themeColor="text1"/>
          <w:sz w:val="24"/>
          <w:szCs w:val="24"/>
          <w:highlight w:val="none"/>
          <w:lang w:val="zh-CN"/>
        </w:rPr>
        <w:t xml:space="preserve">2026年度残疾儿童及青少年康复教育训练项目</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3.预算金额：人民币</w:t>
      </w:r>
      <w:r>
        <w:rPr>
          <w:rFonts w:hint="eastAsia" w:ascii="宋体" w:hAnsi="宋体"/>
          <w:color w:val="000000" w:themeColor="text1"/>
          <w:sz w:val="24"/>
          <w:szCs w:val="24"/>
          <w:highlight w:val="none"/>
          <w:lang w:val="zh-CN"/>
        </w:rPr>
        <w:t xml:space="preserve">捌拾肆万柒仟</w:t>
      </w:r>
      <w:r>
        <w:rPr>
          <w:rFonts w:hint="eastAsia" w:ascii="宋体" w:hAnsi="宋体"/>
          <w:color w:val="000000" w:themeColor="text1"/>
          <w:sz w:val="24"/>
          <w:szCs w:val="24"/>
          <w:highlight w:val="none"/>
          <w:lang w:val="zh-CN"/>
        </w:rPr>
        <w:t xml:space="preserve">元整（￥</w:t>
      </w:r>
      <w:r>
        <w:rPr>
          <w:rFonts w:ascii="宋体" w:hAnsi="宋体"/>
          <w:color w:val="000000" w:themeColor="text1"/>
          <w:sz w:val="24"/>
          <w:szCs w:val="24"/>
          <w:highlight w:val="none"/>
          <w:lang w:val="zh-CN"/>
        </w:rPr>
        <w:t xml:space="preserve">847,000</w:t>
      </w:r>
      <w:r>
        <w:rPr>
          <w:rFonts w:ascii="宋体" w:hAnsi="宋体"/>
          <w:color w:val="000000" w:themeColor="text1"/>
          <w:sz w:val="24"/>
          <w:szCs w:val="24"/>
          <w:highlight w:val="none"/>
          <w:lang w:val="zh-CN"/>
        </w:rPr>
        <w:t xml:space="preserve">.00</w:t>
      </w:r>
      <w:r>
        <w:rPr>
          <w:rFonts w:hint="eastAsia" w:ascii="宋体" w:hAnsi="宋体"/>
          <w:color w:val="000000" w:themeColor="text1"/>
          <w:sz w:val="24"/>
          <w:szCs w:val="24"/>
          <w:highlight w:val="none"/>
          <w:lang w:val="zh-CN"/>
        </w:rPr>
        <w:t xml:space="preserve">）</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4.最高限价：</w:t>
      </w:r>
      <w:r>
        <w:rPr>
          <w:rFonts w:hint="eastAsia" w:ascii="宋体" w:hAnsi="宋体"/>
          <w:color w:val="000000" w:themeColor="text1"/>
          <w:sz w:val="24"/>
          <w:szCs w:val="24"/>
          <w:highlight w:val="none"/>
          <w:lang w:val="zh-CN"/>
        </w:rPr>
        <w:t xml:space="preserve">人民币捌拾肆万柒仟元整（￥847,000.00）</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5.</w:t>
      </w:r>
      <w:r>
        <w:rPr>
          <w:rFonts w:hint="eastAsia" w:ascii="宋体" w:hAnsi="宋体"/>
          <w:b/>
          <w:bCs/>
          <w:color w:val="000000" w:themeColor="text1"/>
          <w:sz w:val="24"/>
          <w:szCs w:val="24"/>
          <w:highlight w:val="none"/>
          <w:lang w:val="zh-CN"/>
        </w:rPr>
        <w:t xml:space="preserve">合同履行期限：</w:t>
      </w:r>
      <w:r>
        <w:rPr>
          <w:rFonts w:hint="eastAsia" w:ascii="宋体" w:hAnsi="宋体"/>
          <w:color w:val="000000" w:themeColor="text1"/>
          <w:sz w:val="24"/>
          <w:szCs w:val="24"/>
          <w:highlight w:val="none"/>
        </w:rPr>
        <w:t xml:space="preserve">2025年12月05日-2026年12月04日（以实际签订日期为准）</w:t>
      </w:r>
      <w:r>
        <w:rPr>
          <w:rFonts w:hint="eastAsia" w:ascii="宋体" w:hAnsi="宋体"/>
          <w:color w:val="000000" w:themeColor="text1"/>
          <w:sz w:val="24"/>
          <w:szCs w:val="24"/>
          <w:highlight w:val="none"/>
        </w:rPr>
        <w:t xml:space="preserve">。</w:t>
      </w:r>
      <w:r>
        <w:rPr>
          <w:color w:val="000000" w:themeColor="text1"/>
          <w:highlight w:val="none"/>
        </w:rPr>
      </w:r>
    </w:p>
    <w:p>
      <w:pP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二、申请人的资格要求：</w:t>
      </w:r>
      <w:r>
        <w:rPr>
          <w:color w:val="000000" w:themeColor="text1"/>
          <w:highlight w:val="none"/>
        </w:rPr>
      </w:r>
    </w:p>
    <w:p>
      <w:pPr>
        <w:ind w:firstLine="754"/>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1.满足《中华人民共和国政府采购法》第二十二条规定：</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（1）具有独立承担民事责任的能力；</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（2）具有良好的商业信誉和健全的财务会计制度；</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（3）具有履行合同所必须的设备和专业技术能力；</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（4）有依法缴纳税收和社会保障资金的良好记录；</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（5）参加政府采购活动前三年内，在经营活动中没有重大违法记录；</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（6）法律、行政法规规定的其他条件。</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2.落实政府采购政策需满足的资格要求：</w:t>
      </w:r>
      <w:r>
        <w:rPr>
          <w:rFonts w:hint="eastAsia" w:ascii="宋体" w:hAnsi="宋体"/>
          <w:b/>
          <w:color w:val="000000" w:themeColor="text1"/>
          <w:sz w:val="24"/>
          <w:szCs w:val="24"/>
          <w:highlight w:val="none"/>
          <w:lang w:val="zh-CN"/>
        </w:rPr>
        <w:t xml:space="preserve">本项目非专门面向中小企业采购，行业划分类别为其他未列明行业</w:t>
      </w:r>
      <w:r>
        <w:rPr>
          <w:rFonts w:hint="eastAsia" w:ascii="宋体" w:hAnsi="宋体"/>
          <w:color w:val="000000" w:themeColor="text1"/>
          <w:sz w:val="24"/>
          <w:szCs w:val="24"/>
          <w:highlight w:val="none"/>
          <w:lang w:val="zh-CN"/>
        </w:rPr>
        <w:t xml:space="preserve">。</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3.本项目的特定资格要求： </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zh-CN"/>
        </w:rPr>
        <w:t xml:space="preserve">未被</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zh-CN"/>
        </w:rPr>
        <w:t xml:space="preserve">信用中国</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zh-CN"/>
        </w:rPr>
        <w:t xml:space="preserve">网站</w:t>
      </w:r>
      <w:r>
        <w:rPr>
          <w:rFonts w:hint="eastAsia" w:ascii="宋体" w:hAnsi="宋体"/>
          <w:color w:val="000000" w:themeColor="text1"/>
          <w:sz w:val="24"/>
          <w:szCs w:val="24"/>
          <w:highlight w:val="none"/>
        </w:rPr>
        <w:t xml:space="preserve">（www.creditchina.gov.cn）</w:t>
      </w:r>
      <w:r>
        <w:rPr>
          <w:rFonts w:hint="eastAsia" w:ascii="宋体" w:hAnsi="宋体"/>
          <w:color w:val="000000" w:themeColor="text1"/>
          <w:sz w:val="24"/>
          <w:szCs w:val="24"/>
          <w:highlight w:val="none"/>
          <w:lang w:val="zh-CN"/>
        </w:rPr>
        <w:t xml:space="preserve">或</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zh-CN"/>
        </w:rPr>
        <w:t xml:space="preserve">中国政府采购网</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zh-CN"/>
        </w:rPr>
        <w:t xml:space="preserve">网站</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val="zh-CN"/>
        </w:rPr>
        <w:t xml:space="preserve">列入失信被执行人、重大税收违法案件当事人名单、政府采购严重失信行为记录名单</w:t>
      </w:r>
      <w:r>
        <w:rPr>
          <w:rFonts w:hint="eastAsia" w:ascii="宋体" w:hAnsi="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（2）本项目不接受联合体投标；</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p>
    <w:p>
      <w:pP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三、报名及采购文件的获取:</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采购文件获取时间：自招标文件公告发布之日起5个工作日（北京时间，法定节假日除外）</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color w:val="000000" w:themeColor="text1"/>
          <w:highlight w:val="none"/>
        </w:rPr>
      </w:r>
      <w:bookmarkStart w:id="0" w:name="_Toc35393632"/>
      <w:r>
        <w:rPr>
          <w:color w:val="000000" w:themeColor="text1"/>
          <w:highlight w:val="none"/>
        </w:rPr>
      </w:r>
      <w:bookmarkStart w:id="1" w:name="_Toc28359015"/>
      <w:r>
        <w:rPr>
          <w:color w:val="000000" w:themeColor="text1"/>
          <w:highlight w:val="none"/>
        </w:rPr>
      </w:r>
      <w:bookmarkStart w:id="2" w:name="_Toc28359092"/>
      <w:r>
        <w:rPr>
          <w:color w:val="000000" w:themeColor="text1"/>
          <w:highlight w:val="none"/>
        </w:rPr>
      </w:r>
      <w:bookmarkStart w:id="3" w:name="_Toc35393801"/>
      <w:r>
        <w:rPr>
          <w:rFonts w:hint="eastAsia" w:ascii="宋体" w:hAnsi="宋体" w:cs="宋体"/>
          <w:color w:val="000000" w:themeColor="text1"/>
          <w:sz w:val="24"/>
          <w:szCs w:val="24"/>
          <w:highlight w:val="none"/>
        </w:rPr>
        <w:t xml:space="preserve">（1）CA证书办理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w:t>
      </w:r>
      <w:r>
        <w:rPr>
          <w:rFonts w:hint="eastAsia" w:ascii="宋体" w:hAnsi="宋体" w:cs="宋体"/>
          <w:color w:val="000000" w:themeColor="text1"/>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（2）参与采购活动</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（3）电子投标准备</w:t>
      </w:r>
      <w:r>
        <w:rPr>
          <w:color w:val="000000" w:themeColor="text1"/>
          <w:highlight w:val="none"/>
        </w:rPr>
      </w:r>
    </w:p>
    <w:p>
      <w:pPr>
        <w:ind w:firstLine="480"/>
        <w:spacing w:line="360" w:lineRule="auto"/>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 w:val="24"/>
          <w:szCs w:val="24"/>
          <w:highlight w:val="none"/>
        </w:rPr>
        <w:t xml:space="preserve">（具体详见《苏采云系统供应商操作手册》，网址链接https://czju.suzhou.gov.cn/zfcg/html/content/20231220161910031.shtml）。</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在系统操作过程中如有疑问，请按以下方式联系：</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注册咨询：18261002950；</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CA技术咨询电话：400-608-6099；</w:t>
      </w:r>
      <w:r>
        <w:rPr>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签章使用问题：</w:t>
      </w:r>
      <w:r>
        <w:rPr>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025-83633811、025-83633812、15380932027、15371015030；</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系统使用指导与咨询：联系电话：18261002950；QQ：3048755361、1315179389、895706745。</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四、响应文件提交</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1.截止时间：</w:t>
      </w:r>
      <w:bookmarkStart w:id="4" w:name="XMKBSJ_2"/>
      <w:r>
        <w:rPr>
          <w:rFonts w:hint="eastAsia" w:ascii="宋体" w:hAnsi="宋体" w:cs="宋体"/>
          <w:color w:val="000000" w:themeColor="text1"/>
          <w:sz w:val="24"/>
          <w:szCs w:val="24"/>
          <w:highlight w:val="none"/>
          <w:u w:val="single"/>
        </w:rPr>
        <w:t xml:space="preserve">2025年</w:t>
      </w:r>
      <w:r>
        <w:rPr>
          <w:rFonts w:hint="eastAsia" w:ascii="宋体" w:hAnsi="宋体" w:cs="宋体"/>
          <w:color w:val="000000" w:themeColor="text1"/>
          <w:sz w:val="24"/>
          <w:szCs w:val="24"/>
          <w:highlight w:val="none"/>
          <w:u w:val="single"/>
        </w:rPr>
        <w:t xml:space="preserve">11月</w:t>
      </w:r>
      <w:r>
        <w:rPr>
          <w:rFonts w:hint="eastAsia" w:ascii="宋体" w:hAnsi="宋体" w:cs="宋体"/>
          <w:color w:val="000000" w:themeColor="text1"/>
          <w:sz w:val="24"/>
          <w:szCs w:val="24"/>
          <w:highlight w:val="none"/>
          <w:u w:val="single"/>
        </w:rPr>
        <w:t xml:space="preserve">28日09点30分</w:t>
      </w:r>
      <w:bookmarkEnd w:id="4"/>
      <w:r>
        <w:rPr>
          <w:rFonts w:hint="eastAsia" w:ascii="宋体" w:hAnsi="宋体" w:cs="宋体"/>
          <w:color w:val="000000" w:themeColor="text1"/>
          <w:sz w:val="24"/>
          <w:szCs w:val="24"/>
          <w:highlight w:val="none"/>
          <w:u w:val="single"/>
        </w:rPr>
        <w:t xml:space="preserve">（北京时间）</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w:t>
      </w:r>
      <w:r>
        <w:rPr>
          <w:rFonts w:hint="eastAsia" w:ascii="宋体" w:hAnsi="宋体" w:cs="宋体"/>
          <w:b/>
          <w:bCs/>
          <w:color w:val="000000" w:themeColor="text1"/>
          <w:sz w:val="24"/>
          <w:szCs w:val="24"/>
          <w:highlight w:val="none"/>
        </w:rPr>
        <w:t xml:space="preserve">“苏采云”系统（网址：http://jszfcg.jsczt.cn/）</w:t>
      </w:r>
      <w:r>
        <w:rPr>
          <w:rFonts w:hint="eastAsia" w:ascii="宋体" w:hAnsi="宋体" w:cs="宋体"/>
          <w:color w:val="000000" w:themeColor="text1"/>
          <w:sz w:val="24"/>
          <w:szCs w:val="24"/>
          <w:highlight w:val="none"/>
        </w:rPr>
        <w:t xml:space="preserve">。响应文件网上递交，不需要现场参加采购活动，无需提供纸质响应文件。</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highlight w:val="none"/>
        </w:rPr>
        <w:t xml:space="preserve">供应商应充分考虑到网络环境、网络带宽等风险因素，如因供应商自身原因造成的电子响应文件上传不成功由供应商自行承担全部责任。</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五、开启</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1.截止时间：</w:t>
      </w:r>
      <w:r>
        <w:rPr>
          <w:rFonts w:hint="eastAsia" w:ascii="宋体" w:hAnsi="宋体" w:cs="宋体"/>
          <w:color w:val="000000" w:themeColor="text1"/>
          <w:sz w:val="24"/>
          <w:szCs w:val="24"/>
          <w:highlight w:val="none"/>
          <w:u w:val="single"/>
        </w:rPr>
        <w:t xml:space="preserve">2025年</w:t>
      </w:r>
      <w:r>
        <w:rPr>
          <w:rFonts w:hint="eastAsia" w:ascii="宋体" w:hAnsi="宋体" w:cs="宋体"/>
          <w:color w:val="000000" w:themeColor="text1"/>
          <w:sz w:val="24"/>
          <w:szCs w:val="24"/>
          <w:highlight w:val="none"/>
          <w:u w:val="single"/>
        </w:rPr>
        <w:t xml:space="preserve">11月</w:t>
      </w:r>
      <w:r>
        <w:rPr>
          <w:rFonts w:hint="eastAsia" w:ascii="宋体" w:hAnsi="宋体" w:cs="宋体"/>
          <w:color w:val="000000" w:themeColor="text1"/>
          <w:sz w:val="24"/>
          <w:szCs w:val="24"/>
          <w:highlight w:val="none"/>
          <w:u w:val="single"/>
        </w:rPr>
        <w:t xml:space="preserve">28</w:t>
      </w:r>
      <w:r>
        <w:rPr>
          <w:rFonts w:hint="eastAsia" w:ascii="宋体" w:hAnsi="宋体" w:cs="宋体"/>
          <w:color w:val="000000" w:themeColor="text1"/>
          <w:sz w:val="24"/>
          <w:szCs w:val="24"/>
          <w:highlight w:val="none"/>
          <w:u w:val="single"/>
        </w:rPr>
        <w:t xml:space="preserve">日09点30分（北京时间）</w:t>
      </w:r>
      <w:r>
        <w:rPr>
          <w:color w:val="000000" w:themeColor="text1"/>
          <w:highlight w:val="none"/>
        </w:rPr>
      </w:r>
    </w:p>
    <w:p>
      <w:pPr>
        <w:ind w:firstLine="480"/>
        <w:spacing w:line="360" w:lineRule="auto"/>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2.地点：</w:t>
      </w:r>
      <w:r>
        <w:rPr>
          <w:rFonts w:hint="eastAsia" w:ascii="宋体" w:hAnsi="宋体" w:cs="宋体"/>
          <w:b/>
          <w:bCs/>
          <w:color w:val="000000" w:themeColor="text1"/>
          <w:sz w:val="24"/>
          <w:szCs w:val="24"/>
          <w:highlight w:val="none"/>
        </w:rPr>
        <w:t xml:space="preserve">“苏采云”系统（网址：http://jszfcg.jsczt.cn/）</w:t>
      </w:r>
      <w:r>
        <w:rPr>
          <w:color w:val="000000" w:themeColor="text1"/>
          <w:highlight w:val="none"/>
        </w:rPr>
      </w:r>
    </w:p>
    <w:p>
      <w:pPr>
        <w:ind w:firstLine="480"/>
        <w:spacing w:line="360" w:lineRule="auto"/>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highlight w:val="none"/>
        </w:rPr>
        <w:t xml:space="preserve">本项目为不见面磋商项目，开启阶段供应商在【供应商解密】环节必须使用 CA证书解密电子响应文件，如在系统规定的解密时间内未能完成解密的视为放弃参与本项目。</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请供应商确保电脑、系统及其他设备（视频输入输出设备等）无误，且开启直至项目结束始终保持系统在线状态。</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六、公告期限</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自本公告发布之日起</w:t>
      </w: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个工作日</w:t>
      </w:r>
      <w:r>
        <w:rPr>
          <w:rFonts w:hint="eastAsia" w:ascii="宋体" w:hAnsi="宋体" w:cs="宋体"/>
          <w:color w:val="000000" w:themeColor="text1"/>
          <w:sz w:val="24"/>
          <w:szCs w:val="24"/>
          <w:highlight w:val="none"/>
        </w:rPr>
        <w:t xml:space="preserve">。</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七、其他补充事宜</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.本次采购的有关信息将在江苏政府采购网、苏州政府采购网上发布，敬请留意。</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八、对本次招标提出询问，请按以下方式联系。</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w:t>
      </w:r>
      <w:r>
        <w:rPr>
          <w:rFonts w:hint="eastAsia" w:ascii="宋体" w:hAnsi="宋体" w:cs="宋体"/>
          <w:color w:val="000000" w:themeColor="text1"/>
          <w:sz w:val="24"/>
          <w:szCs w:val="24"/>
          <w:highlight w:val="none"/>
        </w:rPr>
        <w:t xml:space="preserve">苏州市社会福利总院</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地址：苏州市相城区新福路700号</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联系方式：0512-65336869</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rPr>
        <w:t xml:space="preserve">黄蒙蒙</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2.招标代理机构：苏州久诺招投标咨询服务有限公司</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联系人：张伟 联系电话：0512-63274291</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联系地址：苏州高新区金狮大厦8G</w:t>
      </w:r>
      <w:r>
        <w:rPr>
          <w:color w:val="000000" w:themeColor="text1"/>
          <w:highlight w:val="none"/>
        </w:rPr>
      </w:r>
    </w:p>
    <w:p>
      <w:pPr>
        <w:pStyle w:val="747"/>
        <w:rPr>
          <w:color w:val="000000" w:themeColor="text1"/>
          <w:highlight w:val="none"/>
        </w:rPr>
      </w:pPr>
      <w:r>
        <w:rPr>
          <w:color w:val="000000" w:themeColor="text1"/>
          <w:highlight w:val="none"/>
          <w:lang w:val="zh-CN"/>
        </w:rPr>
        <w:br w:type="page" w:clear="all"/>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sz w:val="31"/>
          <w:szCs w:val="31"/>
          <w:highlight w:val="none"/>
        </w:rPr>
      </w:pPr>
      <w:r>
        <w:rPr>
          <w:rStyle w:val="848"/>
          <w:rFonts w:hint="eastAsia" w:ascii="宋体" w:hAnsi="宋体" w:cs="宋体"/>
          <w:color w:val="000000" w:themeColor="text1"/>
          <w:sz w:val="43"/>
          <w:szCs w:val="43"/>
          <w:highlight w:val="none"/>
        </w:rPr>
        <w:t xml:space="preserve">第二章  苏州市政府采购竞争性磋商文件</w:t>
      </w:r>
      <w:r>
        <w:rPr>
          <w:color w:val="000000" w:themeColor="text1"/>
          <w:highlight w:val="none"/>
        </w:rPr>
      </w:r>
    </w:p>
    <w:p>
      <w:pPr>
        <w:jc w:val="cente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lang w:val="zh-CN"/>
        </w:rPr>
        <w:t xml:space="preserve">磋商文件编号：</w:t>
      </w:r>
      <w:r>
        <w:rPr>
          <w:rFonts w:ascii="宋体" w:hAnsi="宋体"/>
          <w:b/>
          <w:color w:val="000000" w:themeColor="text1"/>
          <w:sz w:val="24"/>
          <w:highlight w:val="none"/>
          <w:lang w:val="zh-CN"/>
        </w:rPr>
        <w:t xml:space="preserve">JSZC-320500-SZJN-C2025-0014</w:t>
      </w:r>
      <w:r>
        <w:rPr>
          <w:color w:val="000000" w:themeColor="text1"/>
          <w:highlight w:val="none"/>
        </w:rPr>
      </w:r>
    </w:p>
    <w:p>
      <w:pPr>
        <w:jc w:val="cente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lang w:val="zh-CN"/>
        </w:rPr>
        <w:t xml:space="preserve">项目类别：服务类</w:t>
      </w:r>
      <w:r>
        <w:rPr>
          <w:color w:val="000000" w:themeColor="text1"/>
          <w:highlight w:val="none"/>
        </w:rPr>
      </w:r>
    </w:p>
    <w:p>
      <w:pPr>
        <w:rPr>
          <w:rFonts w:hint="eastAsia"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p>
    <w:p>
      <w:pPr>
        <w:ind w:firstLine="540"/>
        <w:spacing w:line="360" w:lineRule="auto"/>
        <w:rPr>
          <w:rFonts w:hint="eastAsia" w:asciiTheme="minorEastAsia" w:hAnsiTheme="minorEastAsia" w:eastAsiaTheme="minorEastAsia"/>
          <w:color w:val="000000" w:themeColor="text1"/>
          <w:spacing w:val="15"/>
          <w:sz w:val="24"/>
          <w:szCs w:val="24"/>
          <w:highlight w:val="none"/>
        </w:rPr>
      </w:pPr>
      <w:r>
        <w:rPr>
          <w:rFonts w:hint="eastAsia" w:asciiTheme="minorEastAsia" w:hAnsiTheme="minorEastAsia" w:eastAsiaTheme="minorEastAsia"/>
          <w:color w:val="000000" w:themeColor="text1"/>
          <w:spacing w:val="15"/>
          <w:sz w:val="24"/>
          <w:szCs w:val="24"/>
          <w:highlight w:val="none"/>
        </w:rPr>
        <w:t xml:space="preserve">受</w:t>
      </w:r>
      <w:r>
        <w:rPr>
          <w:rFonts w:hint="eastAsia" w:asciiTheme="minorEastAsia" w:hAnsiTheme="minorEastAsia" w:eastAsiaTheme="minorEastAsia"/>
          <w:color w:val="000000" w:themeColor="text1"/>
          <w:sz w:val="24"/>
          <w:szCs w:val="24"/>
          <w:highlight w:val="none"/>
        </w:rPr>
        <w:t xml:space="preserve">苏州市社会福利总院</w:t>
      </w:r>
      <w:r>
        <w:rPr>
          <w:rFonts w:hint="eastAsia" w:asciiTheme="minorEastAsia" w:hAnsiTheme="minorEastAsia" w:eastAsiaTheme="minorEastAsia"/>
          <w:color w:val="000000" w:themeColor="text1"/>
          <w:spacing w:val="15"/>
          <w:sz w:val="24"/>
          <w:szCs w:val="24"/>
          <w:highlight w:val="none"/>
        </w:rPr>
        <w:t xml:space="preserve">委托，对其要求采购的</w:t>
      </w:r>
      <w:r>
        <w:rPr>
          <w:rFonts w:hint="eastAsia" w:asciiTheme="minorEastAsia" w:hAnsiTheme="minorEastAsia" w:eastAsiaTheme="minorEastAsia"/>
          <w:color w:val="000000" w:themeColor="text1"/>
          <w:sz w:val="24"/>
          <w:szCs w:val="24"/>
          <w:highlight w:val="none"/>
          <w:lang w:val="zh-CN"/>
        </w:rPr>
        <w:t xml:space="preserve">2026年度残疾儿童及青少年康复教育训练项目</w:t>
      </w:r>
      <w:r>
        <w:rPr>
          <w:rFonts w:hint="eastAsia" w:asciiTheme="minorEastAsia" w:hAnsiTheme="minorEastAsia" w:eastAsiaTheme="minorEastAsia"/>
          <w:color w:val="000000" w:themeColor="text1"/>
          <w:spacing w:val="15"/>
          <w:sz w:val="24"/>
          <w:szCs w:val="24"/>
          <w:highlight w:val="none"/>
        </w:rPr>
        <w:t xml:space="preserve">进行竞争性磋商采购，欢迎具有独立承担民事责任能力及履约能力的服务商参与竞争，以期采购到合格的产品。</w:t>
      </w:r>
      <w:r>
        <w:rPr>
          <w:color w:val="000000" w:themeColor="text1"/>
          <w:highlight w:val="none"/>
        </w:rPr>
      </w:r>
    </w:p>
    <w:p>
      <w:pPr>
        <w:spacing w:line="360" w:lineRule="auto"/>
        <w:tabs>
          <w:tab w:val="left" w:pos="0" w:leader="none"/>
        </w:tabs>
        <w:rPr>
          <w:rFonts w:hint="eastAsia"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
          <w:bCs/>
          <w:color w:val="000000" w:themeColor="text1"/>
          <w:sz w:val="24"/>
          <w:szCs w:val="24"/>
          <w:highlight w:val="none"/>
        </w:rPr>
        <w:t xml:space="preserve">一、采购编号：</w:t>
      </w:r>
      <w:r>
        <w:rPr>
          <w:rFonts w:asciiTheme="minorEastAsia" w:hAnsiTheme="minorEastAsia" w:eastAsiaTheme="minorEastAsia"/>
          <w:bCs/>
          <w:color w:val="000000" w:themeColor="text1"/>
          <w:sz w:val="24"/>
          <w:szCs w:val="24"/>
          <w:highlight w:val="none"/>
        </w:rPr>
        <w:t xml:space="preserve">JSZC-320500-SZJN-C2025-0014</w:t>
      </w:r>
      <w:r>
        <w:rPr>
          <w:color w:val="000000" w:themeColor="text1"/>
          <w:highlight w:val="none"/>
        </w:rPr>
      </w:r>
    </w:p>
    <w:p>
      <w:pPr>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lang w:val="zh-CN"/>
        </w:rPr>
        <w:t xml:space="preserve">二、项目名称：</w:t>
      </w:r>
      <w:r>
        <w:rPr>
          <w:rFonts w:hint="eastAsia" w:asciiTheme="minorEastAsia" w:hAnsiTheme="minorEastAsia" w:eastAsiaTheme="minorEastAsia"/>
          <w:color w:val="000000" w:themeColor="text1"/>
          <w:sz w:val="24"/>
          <w:szCs w:val="24"/>
          <w:highlight w:val="none"/>
          <w:lang w:val="zh-CN"/>
        </w:rPr>
        <w:t xml:space="preserve">2026年度残疾儿童及青少年康复教育训练项目</w:t>
      </w:r>
      <w:r>
        <w:rPr>
          <w:color w:val="000000" w:themeColor="text1"/>
          <w:highlight w:val="none"/>
        </w:rPr>
      </w:r>
    </w:p>
    <w:p>
      <w:pPr>
        <w:spacing w:line="360" w:lineRule="auto"/>
        <w:rPr>
          <w:rFonts w:hint="eastAsia" w:ascii="宋体" w:hAnsi="宋体"/>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lang w:val="zh-CN"/>
        </w:rPr>
        <w:t xml:space="preserve">三、</w:t>
      </w:r>
      <w:r>
        <w:rPr>
          <w:rFonts w:hint="eastAsia" w:ascii="宋体" w:hAnsi="宋体"/>
          <w:b/>
          <w:color w:val="000000" w:themeColor="text1"/>
          <w:sz w:val="24"/>
          <w:szCs w:val="24"/>
          <w:highlight w:val="none"/>
          <w:lang w:val="zh-CN"/>
        </w:rPr>
        <w:t xml:space="preserve">预算金额：</w:t>
      </w:r>
      <w:r>
        <w:rPr>
          <w:rFonts w:hint="eastAsia" w:ascii="宋体" w:hAnsi="宋体"/>
          <w:color w:val="000000" w:themeColor="text1"/>
          <w:sz w:val="24"/>
          <w:szCs w:val="24"/>
          <w:highlight w:val="none"/>
          <w:lang w:val="zh-CN"/>
        </w:rPr>
        <w:t xml:space="preserve">人民币捌拾肆万柒仟元整（￥847,000.00）</w:t>
      </w:r>
      <w:r>
        <w:rPr>
          <w:color w:val="000000" w:themeColor="text1"/>
          <w:highlight w:val="none"/>
        </w:rPr>
      </w:r>
    </w:p>
    <w:p>
      <w:pPr>
        <w:ind w:firstLine="482"/>
        <w:spacing w:line="360" w:lineRule="auto"/>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lang w:val="zh-CN"/>
        </w:rPr>
        <w:t xml:space="preserve">最高限价：</w:t>
      </w:r>
      <w:r>
        <w:rPr>
          <w:rFonts w:hint="eastAsia" w:ascii="宋体" w:hAnsi="宋体"/>
          <w:color w:val="000000" w:themeColor="text1"/>
          <w:sz w:val="24"/>
          <w:szCs w:val="24"/>
          <w:highlight w:val="none"/>
          <w:lang w:val="zh-CN"/>
        </w:rPr>
        <w:t xml:space="preserve">人民币捌拾肆万柒仟元整（￥847,000.00）</w:t>
      </w:r>
      <w:r>
        <w:rPr>
          <w:color w:val="000000" w:themeColor="text1"/>
          <w:highlight w:val="none"/>
        </w:rPr>
      </w:r>
    </w:p>
    <w:p>
      <w:pPr>
        <w:spacing w:line="360" w:lineRule="auto"/>
        <w:rPr>
          <w:rFonts w:hint="eastAsia" w:asciiTheme="minorEastAsia" w:hAnsiTheme="minorEastAsia" w:eastAsiaTheme="minorEastAsia"/>
          <w:b/>
          <w:bCs/>
          <w:color w:val="000000" w:themeColor="text1"/>
          <w:sz w:val="24"/>
          <w:szCs w:val="24"/>
          <w:highlight w:val="none"/>
        </w:rPr>
      </w:pPr>
      <w:r>
        <w:rPr>
          <w:color w:val="000000" w:themeColor="text1"/>
          <w:highlight w:val="none"/>
        </w:rPr>
      </w:r>
      <w:bookmarkStart w:id="5" w:name="_Hlk213319679"/>
      <w:r>
        <w:rPr>
          <w:rFonts w:hint="eastAsia" w:asciiTheme="minorEastAsia" w:hAnsiTheme="minorEastAsia" w:eastAsiaTheme="minorEastAsia"/>
          <w:b/>
          <w:bCs/>
          <w:color w:val="000000" w:themeColor="text1"/>
          <w:sz w:val="24"/>
          <w:szCs w:val="24"/>
          <w:highlight w:val="none"/>
        </w:rPr>
        <w:t xml:space="preserve">四、</w:t>
      </w:r>
      <w:r>
        <w:rPr>
          <w:rFonts w:hint="eastAsia" w:asciiTheme="minorEastAsia" w:hAnsiTheme="minorEastAsia" w:eastAsiaTheme="minorEastAsia"/>
          <w:b/>
          <w:bCs/>
          <w:color w:val="000000" w:themeColor="text1"/>
          <w:sz w:val="24"/>
          <w:szCs w:val="24"/>
          <w:highlight w:val="none"/>
        </w:rPr>
        <w:t xml:space="preserve">采购需求</w:t>
      </w:r>
      <w:r>
        <w:rPr>
          <w:rFonts w:hint="eastAsia" w:asciiTheme="minorEastAsia" w:hAnsiTheme="minorEastAsia" w:eastAsiaTheme="minorEastAsia"/>
          <w:b/>
          <w:bCs/>
          <w:color w:val="000000" w:themeColor="text1"/>
          <w:sz w:val="24"/>
          <w:szCs w:val="24"/>
          <w:highlight w:val="none"/>
        </w:rPr>
        <w:t xml:space="preserve">：</w:t>
      </w:r>
      <w:bookmarkEnd w:id="5"/>
      <w:r>
        <w:rPr>
          <w:color w:val="000000" w:themeColor="text1"/>
          <w:highlight w:val="none"/>
        </w:rPr>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项目概述：</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本次采购一家康复机构服务团队入驻苏州市社会福利总院为0-18周岁的孤残儿童及青少年开展康复训练。主要开展肢体、智力、听力及孤独症等残疾儿童及青少年康复训练的服务。具体服务要求：</w:t>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服务对象</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福利总院0-18周岁孤残儿童及青少年约</w:t>
      </w:r>
      <w:r>
        <w:rPr>
          <w:rFonts w:ascii="宋体" w:hAnsi="宋体" w:cs="宋体"/>
          <w:color w:val="000000" w:themeColor="text1"/>
          <w:sz w:val="24"/>
          <w:szCs w:val="24"/>
          <w:highlight w:val="none"/>
        </w:rPr>
        <w:t xml:space="preserve">50</w:t>
      </w:r>
      <w:r>
        <w:rPr>
          <w:rFonts w:hint="eastAsia" w:ascii="宋体" w:hAnsi="宋体" w:cs="宋体"/>
          <w:color w:val="000000" w:themeColor="text1"/>
          <w:sz w:val="24"/>
          <w:szCs w:val="24"/>
          <w:highlight w:val="none"/>
        </w:rPr>
        <w:t xml:space="preserve">名左右，服务期间服务对象如有增减，服务费用不变。</w:t>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服务时间</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每个工作日康复时间，肢体类残疾儿童不少于45分钟（视个体情况个别对象须不少于1.5小时）；听力、智力、孤独症残疾儿童不少于1小时（按个体情况增加或减少服务时常）；每天至少安排5人到岗。</w:t>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人员配备要求</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人员要求：应配有7人的专业服务团队；其中康复治疗专业或青少年康复专业的不少于</w:t>
      </w: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人；其余人员允许以应用心理学专业或特殊教育专业或学前教育儿童专业作为补充。服务单位</w:t>
      </w:r>
      <w:r>
        <w:rPr>
          <w:rFonts w:hint="eastAsia" w:ascii="宋体" w:hAnsi="宋体" w:cs="宋体"/>
          <w:color w:val="000000" w:themeColor="text1"/>
          <w:sz w:val="24"/>
          <w:szCs w:val="24"/>
          <w:highlight w:val="none"/>
        </w:rPr>
        <w:t xml:space="preserve">应保证上述至少7人的服务团队人员相对固定，未经采购人同意不得擅自更换。</w:t>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服务流程 </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办理康复登记手续，包括登记、问询、功能与能力评估、建档、制定个性化康复计划、实施康复训练与服务、评估训练效果等。</w:t>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服务内容及要求</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1.基本情况调查。填写康复训练登记表。</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2.功能与能力评估。对新收训的儿童及青少年进行初期评估，对开展康复训练儿童及青少年至少每季度评估一次。训练评估体现阶段性、动态化，应用常用的评估方法，填写评估表。 </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3.康复教育计划与方案制定。至少每季度制定一次。根据各期评估结果，制定、实施和调整个性化康复教育计划，并确定适宜的短期目标和长期目标，填写表单。</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4.综合性康复服务</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4.1肢体残疾儿童及青少年</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4.1.1康复评估能力</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（1）出、入机构评估内容：粗大运动、精细运动、生活自理、言语沟通、认知、社交。</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（2）定期评估频次与内容：每季度应评估1次，作为康复训练针对性的依据。</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4.1.2康复训练方案</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（1）训练内容：包括运动能力、感觉统合、言语交往、生活自理和社会适应能力。</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（2）康复训练计划：制定训练计划和目标，并依据每次评估适时调整训练计划，做到评估、训练、目标相一致。</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（3）开展引导式教育训练。</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（4）每日基本康复训练课时、频次安排：</w:t>
      </w:r>
      <w:bookmarkStart w:id="6" w:name="OLE_LINK3"/>
      <w:r>
        <w:rPr>
          <w:rFonts w:hint="eastAsia" w:ascii="宋体" w:hAnsi="宋体" w:cs="宋体"/>
          <w:color w:val="000000" w:themeColor="text1"/>
          <w:sz w:val="24"/>
          <w:szCs w:val="24"/>
          <w:highlight w:val="none"/>
        </w:rPr>
        <w:t xml:space="preserve">非医疗机构提供包含的康复训练内容、课时；医疗机构提供服务的基本康复训练项目及收费标准。</w:t>
      </w:r>
      <w:bookmarkEnd w:id="6"/>
      <w:r>
        <w:rPr>
          <w:color w:val="000000" w:themeColor="text1"/>
          <w:highlight w:val="none"/>
        </w:rPr>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4.2智力残疾儿童及青少年</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4.2.1康复评估能力</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（1）出/入机构评估内容：包括运动能力评估、感知能力评估、认知能力评估、语言交往能力评估、生活自理能力评估、社会适应能力评估和感觉统合能力评估。</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（2）定期评估频次与内容：每季度应评估1次，作为康复训练针对性的依据。</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4.2.2康复训练方案</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（1）训练内容：包括运动能力训练、感知能力训练、认知能力训练、语言交往能力训练、生活自理能力训练、社会适应能力训练和感觉统合能力训练。 </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（2）康复训练计划：制定训练计划和目标，并依据每次评估适时调整训练计划，做到评估、训练、目标相一致。</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（3）每日基本康复训练课时、频次安排：</w:t>
      </w:r>
      <w:r>
        <w:rPr>
          <w:rFonts w:hint="eastAsia" w:ascii="宋体" w:hAnsi="宋体" w:cs="宋体"/>
          <w:color w:val="000000" w:themeColor="text1"/>
          <w:sz w:val="24"/>
          <w:szCs w:val="24"/>
          <w:highlight w:val="none"/>
        </w:rPr>
        <w:t xml:space="preserve">非医疗机构提供包含的康复训练内容、课时；医疗机构提供服务的基本康复训练项目及收费标准。</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4.3听力语言残疾儿童及青少年</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4.3.1康复评估能力：出、入机构评估：听觉能力评估、言语能力评估、言语听觉反应能力评估、学习能力评估、智力评估、定期评估。</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4.3.2</w:t>
      </w:r>
      <w:r>
        <w:rPr>
          <w:rFonts w:hint="eastAsia" w:ascii="宋体" w:hAnsi="宋体" w:cs="宋体"/>
          <w:color w:val="000000" w:themeColor="text1"/>
          <w:sz w:val="24"/>
          <w:szCs w:val="24"/>
          <w:highlight w:val="none"/>
        </w:rPr>
        <w:t xml:space="preserve">听力技术能力</w:t>
      </w:r>
      <w:r>
        <w:rPr>
          <w:rFonts w:hint="eastAsia" w:ascii="宋体" w:hAnsi="宋体" w:cs="宋体"/>
          <w:color w:val="000000" w:themeColor="text1"/>
          <w:sz w:val="24"/>
          <w:szCs w:val="24"/>
          <w:highlight w:val="none"/>
        </w:rPr>
        <w:t xml:space="preserve">：听力检测、助听器验配、耳模制作、人工耳蜗调试、助听器、人工耳蜗和FM无线调频维护等。</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4.3.3康复训练方案</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训练内容：听觉康复：助听器适应性训练、听觉察知技能训练、听觉分辨技能训练、听觉识别技能训练、听觉理解技能训练。语言康复：个性言语训练、言语矫治、言语功能训练和言语功能异常矫治。语言教育：词语学习、句子训练、句群训练、应用练习。</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（2）康复训练计划：制定训练计划和目标，并依据每次评估适时调整训练计划，做到评估、训练、目标相一致。。</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（3）每日基本康复训练课时、频次安排：</w:t>
      </w:r>
      <w:r>
        <w:rPr>
          <w:rFonts w:hint="eastAsia" w:ascii="宋体" w:hAnsi="宋体" w:cs="宋体"/>
          <w:color w:val="000000" w:themeColor="text1"/>
          <w:sz w:val="24"/>
          <w:szCs w:val="24"/>
          <w:highlight w:val="none"/>
        </w:rPr>
        <w:t xml:space="preserve">非医疗机构提供包含的康复训练内容、课时；医疗机构提供服务的基本康复训练项目及收费标准。</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4.4孤独症儿童及青少年</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4.1康复评估能力</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（1）出/入机构评估：包括运动、感知、认知、语言与沟通、社会交往、生活自理、情绪与行为和感觉统合能力的评估。</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（2）定期评估频次与内容：</w:t>
      </w:r>
      <w:r>
        <w:rPr>
          <w:rFonts w:hint="eastAsia" w:ascii="宋体" w:hAnsi="宋体" w:cs="宋体"/>
          <w:color w:val="000000" w:themeColor="text1"/>
          <w:sz w:val="24"/>
          <w:szCs w:val="24"/>
          <w:highlight w:val="none"/>
        </w:rPr>
        <w:t xml:space="preserve">每季度应评估1次，</w:t>
      </w:r>
      <w:r>
        <w:rPr>
          <w:rFonts w:hint="eastAsia" w:ascii="宋体" w:hAnsi="宋体" w:cs="宋体"/>
          <w:color w:val="000000" w:themeColor="text1"/>
          <w:sz w:val="24"/>
          <w:szCs w:val="24"/>
          <w:highlight w:val="none"/>
        </w:rPr>
        <w:t xml:space="preserve">作为康复训练针对性的依据。</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4.2康复训练要求</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（1）训练内容：主要包括语言与交流能力、社交技巧、运动能力、感知能力、认知能力、生活自理能力、感觉统合能力训练和针对问题行为的行为矫正。</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（2）康复训练计划：制定训练计划和目标</w:t>
      </w:r>
      <w:r>
        <w:rPr>
          <w:rFonts w:hint="eastAsia" w:ascii="宋体" w:hAnsi="宋体" w:cs="宋体"/>
          <w:color w:val="000000" w:themeColor="text1"/>
          <w:sz w:val="24"/>
          <w:szCs w:val="24"/>
          <w:highlight w:val="none"/>
        </w:rPr>
        <w:t xml:space="preserve">，并</w:t>
      </w:r>
      <w:r>
        <w:rPr>
          <w:rFonts w:hint="eastAsia" w:ascii="宋体" w:hAnsi="宋体" w:cs="宋体"/>
          <w:color w:val="000000" w:themeColor="text1"/>
          <w:sz w:val="24"/>
          <w:szCs w:val="24"/>
          <w:highlight w:val="none"/>
        </w:rPr>
        <w:t xml:space="preserve">依据每次评估适时调整训练计划，做到评估、训练、目标相一致。</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（3）每日基本康复训练课时、频次安排：</w:t>
      </w:r>
      <w:r>
        <w:rPr>
          <w:rFonts w:hint="eastAsia" w:ascii="宋体" w:hAnsi="宋体" w:cs="宋体"/>
          <w:color w:val="000000" w:themeColor="text1"/>
          <w:sz w:val="24"/>
          <w:szCs w:val="24"/>
          <w:highlight w:val="none"/>
        </w:rPr>
        <w:t xml:space="preserve">非医疗机构提供包含的康复训练内容、课时；医疗机构提供服务的基本康复训练项目及收费标准。</w:t>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服务质量</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1.质量管理：评估建档率100%；季康复参与率达80%；康复服务满意率达90%；无重大责任事故发生。</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2.档案管理：儿童基本信息、康复教学计划与实施记录、评估记录等资料。</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3.评估报告：每季度由第三方评估机构对购买方进行康教工作评估，并向采购方提交季度评估报告。</w:t>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检查与考核</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1.采购人提供管理与岗位规章制度、质量管理和服务技术标准并实施考核。对成交服务供应商及人员按百分制进行即时、每月及季度考核，兑现奖罚级决定是否继续服务。</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2.检查与考核:总院对提供方的康教服务质量实行面向提供方（公司）及其员工个人两级考核，两级考核均采用百分制量化考评办法。总院对服务方每月及季度进行考核，并按季度支付全额服务费用。</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中标服务供应商应制定具体可行的质量保证措施和相关的服务承诺。服务方所有的工作应按服务流程实施，自觉接受采购人或第三方（职能部门）的随时检查。如出现服务质量未达标情况，服务服务采购人有权要求其整改直至终止合同。</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4.采购人定期和不定期地对服务方提供的服务及人员进行检查和抽查，检查结果将反馈给服务商，并每月对相应内容的检查结果按任务完成情况进行考核；不能胜任的人员，提前终止服务并提供合适人选替换。</w:t>
      </w:r>
      <w:r>
        <w:rPr>
          <w:color w:val="000000" w:themeColor="text1"/>
          <w:highlight w:val="none"/>
        </w:rPr>
      </w:r>
    </w:p>
    <w:p>
      <w:pPr>
        <w:pStyle w:val="1012"/>
        <w:ind w:left="0" w:firstLine="480"/>
        <w:jc w:val="left"/>
        <w:spacing w:after="0" w:line="360" w:lineRule="auto"/>
        <w:tabs>
          <w:tab w:val="left" w:pos="567"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rPr>
        <w:t xml:space="preserve">采购人对服务方平时和季度进行业务考核，与合同金额支付挂钩</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总院对提供方的康教服务质量实行面向提供方（公司）及其员工个人两级考核，人员考核采用百分制量化考评办法，每月考核一次，低于90分，通知机构调整服务人员。机构考核采用合格和不合格评价，每季度考核一次，季度合格按时支付全额服务费用；季度考核不合格一次，按当季度全额服务费用80%支付，</w:t>
      </w:r>
      <w:r>
        <w:rPr>
          <w:rFonts w:hint="eastAsia" w:ascii="宋体" w:hAnsi="宋体" w:eastAsia="宋体" w:cs="宋体"/>
          <w:color w:val="000000" w:themeColor="text1"/>
          <w:sz w:val="24"/>
          <w:szCs w:val="24"/>
          <w:highlight w:val="none"/>
        </w:rPr>
        <w:t xml:space="preserve">年度第二次不合格（经乙方书面签字确认），按当季度全额服务费用50%支付，合同终止。</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6.康教服务人员，不能胜任工作的，应提出充分理由，服务方需在1周内负责调换人员或调换岗位；康教服务人员遇有病事假应及时补人，员工罹患传染性疾病应立即离岗并重新补人。</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7.如康教服务不当出现意外责任事故，由服务方承担责任作出经济赔偿。</w:t>
      </w:r>
      <w:r>
        <w:rPr>
          <w:color w:val="000000" w:themeColor="text1"/>
          <w:highlight w:val="none"/>
        </w:rPr>
      </w:r>
    </w:p>
    <w:p>
      <w:pPr>
        <w:ind w:firstLine="48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8.乙方员工在合同期间所发生的福利费、工伤、生病住院、意外伤（亡）害等费用均由乙方承担。</w:t>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履约期限及地点：</w:t>
      </w:r>
      <w:r>
        <w:rPr>
          <w:color w:val="000000" w:themeColor="text1"/>
          <w:highlight w:val="none"/>
        </w:rPr>
      </w:r>
    </w:p>
    <w:p>
      <w:pPr>
        <w:numPr>
          <w:ilvl w:val="0"/>
          <w:numId w:val="16"/>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服务期限：202</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年12月05日-202</w:t>
      </w:r>
      <w:r>
        <w:rPr>
          <w:rFonts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t xml:space="preserve">年12月04日（以实际签订日期为准）。</w:t>
      </w:r>
      <w:r>
        <w:rPr>
          <w:color w:val="000000" w:themeColor="text1"/>
          <w:highlight w:val="none"/>
        </w:rPr>
      </w:r>
    </w:p>
    <w:p>
      <w:pPr>
        <w:numPr>
          <w:ilvl w:val="0"/>
          <w:numId w:val="16"/>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履约地点：采购人指定地点。</w:t>
      </w:r>
      <w:r>
        <w:rPr>
          <w:color w:val="000000" w:themeColor="text1"/>
          <w:highlight w:val="none"/>
        </w:rPr>
      </w:r>
    </w:p>
    <w:p>
      <w:pPr>
        <w:numPr>
          <w:ilvl w:val="4"/>
          <w:numId w:val="15"/>
        </w:numPr>
        <w:ind w:left="0" w:firstLine="485"/>
        <w:spacing w:line="360" w:lineRule="auto"/>
        <w:tabs>
          <w:tab w:val="left" w:pos="420" w:leader="none"/>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其他综合说明：</w:t>
      </w:r>
      <w:r>
        <w:rPr>
          <w:color w:val="000000" w:themeColor="text1"/>
          <w:highlight w:val="none"/>
        </w:rPr>
      </w:r>
    </w:p>
    <w:p>
      <w:pPr>
        <w:pStyle w:val="1012"/>
        <w:numPr>
          <w:ilvl w:val="0"/>
          <w:numId w:val="17"/>
        </w:numPr>
        <w:ind w:left="0" w:firstLine="480"/>
        <w:jc w:val="left"/>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本次磋商报价包括人工费、差旅食宿费及其它辅助费用、管理、保险、利润、税金、政策性文件规定及合同包含的所有风险、责任等各项应有费用。</w:t>
      </w:r>
      <w:r>
        <w:rPr>
          <w:color w:val="000000" w:themeColor="text1"/>
          <w:highlight w:val="none"/>
        </w:rPr>
      </w:r>
    </w:p>
    <w:p>
      <w:pPr>
        <w:pStyle w:val="1012"/>
        <w:numPr>
          <w:ilvl w:val="0"/>
          <w:numId w:val="17"/>
        </w:numPr>
        <w:ind w:left="0" w:firstLine="480"/>
        <w:jc w:val="left"/>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派驻人员在工作现场出现工伤事故，采购人将立即通知供应商并及时安排送院处理。供应商负责其它善后处理、工伤上报、工伤索赔等工作。</w:t>
      </w:r>
      <w:r>
        <w:rPr>
          <w:color w:val="000000" w:themeColor="text1"/>
          <w:highlight w:val="none"/>
        </w:rPr>
      </w:r>
    </w:p>
    <w:p>
      <w:pPr>
        <w:pStyle w:val="1012"/>
        <w:numPr>
          <w:ilvl w:val="0"/>
          <w:numId w:val="17"/>
        </w:numPr>
        <w:ind w:left="0" w:firstLine="480"/>
        <w:jc w:val="left"/>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在项目实施过程中，采购方与派驻人员不发生任何劳动和雇佣关系，成交单位必须按照采购文件要求及响应文件中的承诺配置，</w:t>
      </w:r>
      <w:r>
        <w:rPr>
          <w:rFonts w:hint="eastAsia" w:ascii="宋体" w:hAnsi="宋体" w:eastAsia="宋体" w:cs="宋体"/>
          <w:color w:val="000000" w:themeColor="text1"/>
          <w:sz w:val="24"/>
          <w:szCs w:val="24"/>
          <w:highlight w:val="none"/>
        </w:rPr>
        <w:t xml:space="preserve">特殊工作人员须符合相关要求。</w:t>
      </w:r>
      <w:r>
        <w:rPr>
          <w:color w:val="000000" w:themeColor="text1"/>
          <w:highlight w:val="none"/>
        </w:rPr>
      </w:r>
    </w:p>
    <w:p>
      <w:pPr>
        <w:pStyle w:val="1012"/>
        <w:numPr>
          <w:ilvl w:val="0"/>
          <w:numId w:val="17"/>
        </w:numPr>
        <w:ind w:left="0" w:firstLine="480"/>
        <w:jc w:val="left"/>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供应商必须说明其是否响应采购文件中提出的全部服务内容与要求，如果以其中某些条款不响应时，应在文件中逐条列出，未列出的视同响应。</w:t>
      </w:r>
      <w:r>
        <w:rPr>
          <w:color w:val="000000" w:themeColor="text1"/>
          <w:highlight w:val="none"/>
        </w:rPr>
      </w:r>
    </w:p>
    <w:p>
      <w:pPr>
        <w:pStyle w:val="1012"/>
        <w:numPr>
          <w:ilvl w:val="0"/>
          <w:numId w:val="17"/>
        </w:numPr>
        <w:ind w:left="0" w:firstLine="480"/>
        <w:jc w:val="left"/>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响应供应商成交后提供服务均为按国家规格条例的合格正规服务、符合规范要求。</w:t>
      </w:r>
      <w:r>
        <w:rPr>
          <w:color w:val="000000" w:themeColor="text1"/>
          <w:highlight w:val="none"/>
        </w:rPr>
      </w:r>
    </w:p>
    <w:p>
      <w:pPr>
        <w:pStyle w:val="1012"/>
        <w:numPr>
          <w:ilvl w:val="0"/>
          <w:numId w:val="17"/>
        </w:numPr>
        <w:ind w:left="0" w:firstLine="480"/>
        <w:jc w:val="left"/>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供应商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质量问题，供应商负责更正，发生的费用由供应商负责。</w:t>
      </w:r>
      <w:r>
        <w:rPr>
          <w:color w:val="000000" w:themeColor="text1"/>
          <w:highlight w:val="none"/>
        </w:rPr>
      </w:r>
    </w:p>
    <w:p>
      <w:pPr>
        <w:pStyle w:val="1012"/>
        <w:numPr>
          <w:ilvl w:val="0"/>
          <w:numId w:val="17"/>
        </w:numPr>
        <w:ind w:left="0" w:firstLine="480"/>
        <w:jc w:val="left"/>
        <w:spacing w:after="0"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关于</w:t>
      </w:r>
      <w:r>
        <w:rPr>
          <w:rFonts w:hint="eastAsia" w:cs="宋体" w:asciiTheme="minorEastAsia" w:hAnsiTheme="minorEastAsia" w:eastAsiaTheme="minorEastAsia"/>
          <w:color w:val="000000" w:themeColor="text1"/>
          <w:sz w:val="24"/>
          <w:szCs w:val="24"/>
          <w:highlight w:val="none"/>
        </w:rPr>
        <w:t xml:space="preserve">投标</w:t>
      </w:r>
      <w:r>
        <w:rPr>
          <w:rFonts w:hint="eastAsia" w:asciiTheme="minorEastAsia" w:hAnsiTheme="minorEastAsia" w:eastAsiaTheme="minorEastAsia"/>
          <w:color w:val="000000" w:themeColor="text1"/>
          <w:sz w:val="24"/>
          <w:szCs w:val="24"/>
          <w:highlight w:val="none"/>
        </w:rPr>
        <w:t xml:space="preserve">报价的相关约定：</w:t>
      </w:r>
      <w:r>
        <w:rPr>
          <w:color w:val="000000" w:themeColor="text1"/>
          <w:highlight w:val="none"/>
        </w:rPr>
      </w:r>
    </w:p>
    <w:p>
      <w:pPr>
        <w:ind w:firstLine="480"/>
        <w:spacing w:line="360" w:lineRule="auto"/>
        <w:tabs>
          <w:tab w:val="left" w:pos="567" w:leader="none"/>
        </w:tabs>
        <w:rPr>
          <w:rFonts w:hint="eastAsia" w:cs="宋体" w:asciiTheme="minorEastAsia" w:hAnsiTheme="minorEastAsia" w:eastAsiaTheme="minorEastAsia"/>
          <w:color w:val="000000" w:themeColor="text1"/>
          <w:sz w:val="24"/>
          <w:szCs w:val="24"/>
          <w:highlight w:val="none"/>
        </w:rPr>
      </w:pPr>
      <w:r>
        <w:rPr>
          <w:rFonts w:cs="宋体" w:asciiTheme="minorEastAsia" w:hAnsiTheme="minorEastAsia" w:eastAsiaTheme="minorEastAsia"/>
          <w:color w:val="000000" w:themeColor="text1"/>
          <w:sz w:val="24"/>
          <w:szCs w:val="24"/>
          <w:highlight w:val="none"/>
        </w:rPr>
        <w:t xml:space="preserve">各供应商应慎重报价，不得恶意降价，评审委员会在评审过程中认为供应商报价过低，有可能影响产品质量或者不能诚信履约的，评审委员会将启动异常低价投标审查程序。</w:t>
      </w:r>
      <w:r>
        <w:rPr>
          <w:color w:val="000000" w:themeColor="text1"/>
          <w:highlight w:val="none"/>
        </w:rPr>
      </w:r>
    </w:p>
    <w:p>
      <w:pPr>
        <w:ind w:firstLine="480"/>
        <w:spacing w:line="360" w:lineRule="auto"/>
        <w:tabs>
          <w:tab w:val="left" w:pos="567" w:leader="none"/>
        </w:tabs>
        <w:rPr>
          <w:rFonts w:hint="eastAsia" w:cs="宋体" w:asciiTheme="minorEastAsia" w:hAnsiTheme="minorEastAsia" w:eastAsiaTheme="minorEastAsia"/>
          <w:color w:val="000000" w:themeColor="text1"/>
          <w:sz w:val="24"/>
          <w:szCs w:val="24"/>
          <w:highlight w:val="none"/>
        </w:rPr>
      </w:pPr>
      <w:r>
        <w:rPr>
          <w:rFonts w:cs="宋体" w:asciiTheme="minorEastAsia" w:hAnsiTheme="minorEastAsia" w:eastAsiaTheme="minorEastAsia"/>
          <w:color w:val="000000" w:themeColor="text1"/>
          <w:sz w:val="24"/>
          <w:szCs w:val="24"/>
          <w:highlight w:val="none"/>
        </w:rPr>
        <w:t xml:space="preserve">具体异常低价的情形及相关内容按照苏财购[2025]62号文件规定执行。若投标报价出现苏财购[2025]62号文件第二条第1条投标报价低于采购项目预算50%的，即投标报价&lt;采购项目预算×50%和第2条投标报价低于采购项目最高限价45%的，即投标报价＜采购项目最高限价×45%情形的，供应商必须在投标文件中提供书面说明及必要的证明材料（书面说明、证明材料主要是项目具体成本测算等与报价合理性相关的说明、材料）。</w:t>
      </w:r>
      <w:r>
        <w:rPr>
          <w:color w:val="000000" w:themeColor="text1"/>
          <w:highlight w:val="none"/>
        </w:rPr>
      </w:r>
    </w:p>
    <w:p>
      <w:pPr>
        <w:ind w:firstLine="480"/>
        <w:spacing w:line="360" w:lineRule="auto"/>
        <w:tabs>
          <w:tab w:val="left" w:pos="567" w:leader="none"/>
        </w:tabs>
        <w:rPr>
          <w:rFonts w:hint="eastAsia" w:asciiTheme="minorEastAsia" w:hAnsiTheme="minorEastAsia" w:eastAsiaTheme="minorEastAsia"/>
          <w:bCs/>
          <w:color w:val="000000" w:themeColor="text1"/>
          <w:sz w:val="24"/>
          <w:szCs w:val="24"/>
          <w:highlight w:val="none"/>
        </w:rPr>
      </w:pPr>
      <w:r>
        <w:rPr>
          <w:rFonts w:cs="宋体" w:asciiTheme="minorEastAsia" w:hAnsiTheme="minorEastAsia" w:eastAsiaTheme="minorEastAsia"/>
          <w:color w:val="000000" w:themeColor="text1"/>
          <w:sz w:val="24"/>
          <w:szCs w:val="24"/>
          <w:highlight w:val="none"/>
        </w:rPr>
        <w:t xml:space="preserve">如果投标供应商未提供书面说明、证明材料，或者提供的书面说明、证明材料不能证明其报价合理性的，评标委员会应对其作为无效投标处理。</w:t>
      </w:r>
      <w:r>
        <w:rPr>
          <w:rFonts w:hint="eastAsia" w:asciiTheme="minorEastAsia" w:hAnsiTheme="minorEastAsia" w:eastAsiaTheme="minorEastAsia"/>
          <w:bCs/>
          <w:color w:val="000000" w:themeColor="text1"/>
          <w:sz w:val="24"/>
          <w:szCs w:val="24"/>
          <w:highlight w:val="none"/>
        </w:rPr>
        <w:t xml:space="preserve"> </w:t>
      </w:r>
      <w:r>
        <w:rPr>
          <w:color w:val="000000" w:themeColor="text1"/>
          <w:highlight w:val="none"/>
        </w:rPr>
      </w:r>
    </w:p>
    <w:p>
      <w:pPr>
        <w:spacing w:line="360" w:lineRule="auto"/>
        <w:rPr>
          <w:rFonts w:hint="eastAsia" w:asciiTheme="minorEastAsia" w:hAnsiTheme="minorEastAsia" w:eastAsiaTheme="minorEastAsia"/>
          <w:b/>
          <w:bCs/>
          <w:color w:val="000000" w:themeColor="text1"/>
          <w:sz w:val="24"/>
          <w:szCs w:val="24"/>
          <w:highlight w:val="none"/>
        </w:rPr>
      </w:pPr>
      <w:r>
        <w:rPr>
          <w:rFonts w:hint="eastAsia" w:asciiTheme="minorEastAsia" w:hAnsiTheme="minorEastAsia" w:eastAsiaTheme="minorEastAsia"/>
          <w:b/>
          <w:bCs/>
          <w:color w:val="000000" w:themeColor="text1"/>
          <w:sz w:val="24"/>
          <w:szCs w:val="24"/>
          <w:highlight w:val="none"/>
        </w:rPr>
        <w:t xml:space="preserve">五、其他说明需求：</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、磋商说明：</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（1）未在响应文件递交截止时间之前上传的响应文件将被拒绝；</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（2）响应文件签署不符合要求的，响应文件将被拒绝；</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（3）不符合响应单位资格要求的响应文件将被拒绝；</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）不实质性响应磋商文件的，不能成交；</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）最终合同单价按最终总报价同比例下（上）浮。</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、验收标准：按相关的国家规定和标准及采购文件的规定由采购单位组织验收。</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、凡涉及磋商采购文件的补充说明和修改，均以苏州市政府采购网上公示的补充通知为准。</w:t>
      </w:r>
      <w:r>
        <w:rPr>
          <w:color w:val="000000" w:themeColor="text1"/>
          <w:highlight w:val="none"/>
        </w:rPr>
      </w:r>
    </w:p>
    <w:p>
      <w:pPr>
        <w:spacing w:line="360" w:lineRule="auto"/>
        <w:tabs>
          <w:tab w:val="left" w:pos="851"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六、关于小微企业、残疾人福利性单位、监狱企业的政策：</w:t>
      </w:r>
      <w:r>
        <w:rPr>
          <w:color w:val="000000" w:themeColor="text1"/>
          <w:highlight w:val="none"/>
        </w:rPr>
      </w:r>
    </w:p>
    <w:p>
      <w:pPr>
        <w:ind w:firstLine="722"/>
        <w:spacing w:line="360" w:lineRule="auto"/>
        <w:tabs>
          <w:tab w:val="left" w:pos="54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根据《政府采购促进中小企业发展管理办法》（财库〔2020〕46号）、《关于促进残</w:t>
      </w:r>
      <w:r>
        <w:rPr>
          <w:rFonts w:hint="eastAsia" w:ascii="宋体" w:hAnsi="宋体"/>
          <w:color w:val="000000" w:themeColor="text1"/>
          <w:sz w:val="24"/>
          <w:szCs w:val="24"/>
          <w:highlight w:val="none"/>
        </w:rPr>
        <w:t xml:space="preserve">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color w:val="000000" w:themeColor="text1"/>
          <w:sz w:val="24"/>
          <w:szCs w:val="24"/>
          <w:highlight w:val="none"/>
        </w:rPr>
        <w:t xml:space="preserve">本项目为非专门面向中小企业采购的项目，属于其他未列明行业。</w:t>
      </w:r>
      <w:r>
        <w:rPr>
          <w:color w:val="000000" w:themeColor="text1"/>
          <w:highlight w:val="none"/>
        </w:rPr>
      </w:r>
    </w:p>
    <w:p>
      <w:pPr>
        <w:ind w:firstLine="722"/>
        <w:spacing w:line="360" w:lineRule="auto"/>
        <w:tabs>
          <w:tab w:val="left" w:pos="54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投标人为小型或微型企业或残疾人企业或监狱企业的，其价格给予20%的扣除，用扣除后的价格参与评审，如扣除后的价格为最低价的，则作为评标基准价，中标金额则以实际投标报价为准。残疾人福利性单位属于小型、微型企业的，不重复享受政策。</w:t>
      </w:r>
      <w:r>
        <w:rPr>
          <w:color w:val="000000" w:themeColor="text1"/>
          <w:highlight w:val="none"/>
        </w:rPr>
      </w:r>
    </w:p>
    <w:p>
      <w:pPr>
        <w:ind w:firstLine="482"/>
        <w:spacing w:line="360" w:lineRule="auto"/>
        <w:tabs>
          <w:tab w:val="left" w:pos="54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应提供《中小企业声明函》或《残疾人福利性单位声明函》或由省级以上监狱管理局、戒毒管理局（含新疆生产建设兵团）出具的属于监狱企业的证明文件。服务类项目中供应商若使用退休人员，将不享受中小企业扶持政策。</w:t>
      </w:r>
      <w:r>
        <w:rPr>
          <w:color w:val="000000" w:themeColor="text1"/>
          <w:highlight w:val="none"/>
        </w:rPr>
      </w:r>
    </w:p>
    <w:p>
      <w:pPr>
        <w:ind w:firstLine="722"/>
        <w:spacing w:line="360" w:lineRule="auto"/>
        <w:tabs>
          <w:tab w:val="left" w:pos="54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对以上企业的产品或服务的价格给予相关比例的扣除，用扣除后的价格参与评审，未在投标文件中提供相关材料、资料的，不享受评审优惠政策。</w:t>
      </w:r>
      <w:r>
        <w:rPr>
          <w:color w:val="000000" w:themeColor="text1"/>
          <w:highlight w:val="none"/>
        </w:rPr>
      </w:r>
    </w:p>
    <w:p>
      <w:pPr>
        <w:ind w:firstLine="722"/>
        <w:spacing w:line="360" w:lineRule="auto"/>
        <w:tabs>
          <w:tab w:val="left" w:pos="54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若供应商提供虚假声明、虚假材料，按“政府采购法”相关规定处理并报请政府监管部门给予行政处罚。</w:t>
      </w:r>
      <w:r>
        <w:rPr>
          <w:color w:val="000000" w:themeColor="text1"/>
          <w:highlight w:val="none"/>
        </w:rPr>
      </w:r>
    </w:p>
    <w:p>
      <w:pPr>
        <w:spacing w:line="360" w:lineRule="auto"/>
        <w:tabs>
          <w:tab w:val="left" w:pos="851"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七、磋商须知：</w:t>
      </w:r>
      <w:r>
        <w:rPr>
          <w:color w:val="000000" w:themeColor="text1"/>
          <w:highlight w:val="none"/>
        </w:rPr>
      </w:r>
    </w:p>
    <w:p>
      <w:pPr>
        <w:numPr>
          <w:ilvl w:val="0"/>
          <w:numId w:val="1"/>
        </w:numPr>
        <w:ind w:left="0" w:firstLine="480"/>
        <w:spacing w:line="360" w:lineRule="auto"/>
        <w:tabs>
          <w:tab w:val="left" w:pos="993"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询问及质疑</w:t>
      </w:r>
      <w:r>
        <w:rPr>
          <w:color w:val="000000" w:themeColor="text1"/>
          <w:highlight w:val="none"/>
        </w:rPr>
      </w:r>
    </w:p>
    <w:p>
      <w:pPr>
        <w:numPr>
          <w:ilvl w:val="0"/>
          <w:numId w:val="2"/>
        </w:num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供应商对本次采购有疑问的，可通过联系电话或苏州市政府采购网“网上报名”系统向代理机构进行询问。</w:t>
      </w:r>
      <w:r>
        <w:rPr>
          <w:color w:val="000000" w:themeColor="text1"/>
          <w:highlight w:val="none"/>
        </w:rPr>
      </w:r>
    </w:p>
    <w:p>
      <w:pPr>
        <w:numPr>
          <w:ilvl w:val="0"/>
          <w:numId w:val="2"/>
        </w:num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提出质疑的供应商应当是参与所质疑项目采购活动的供应商。供应商应当在法定质疑期内一次性提出针对同一采购程序环节的质疑。</w:t>
      </w:r>
      <w:r>
        <w:rPr>
          <w:color w:val="000000" w:themeColor="text1"/>
          <w:highlight w:val="none"/>
        </w:rPr>
      </w:r>
    </w:p>
    <w:p>
      <w:pPr>
        <w:numPr>
          <w:ilvl w:val="0"/>
          <w:numId w:val="2"/>
        </w:numPr>
        <w:ind w:left="0"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凡涉及本项目的补充说明和修改，均以苏州市政府采购网上发布的信息为准。</w:t>
      </w:r>
      <w:r>
        <w:rPr>
          <w:color w:val="000000" w:themeColor="text1"/>
          <w:highlight w:val="none"/>
        </w:rPr>
      </w:r>
    </w:p>
    <w:p>
      <w:pPr>
        <w:numPr>
          <w:ilvl w:val="0"/>
          <w:numId w:val="1"/>
        </w:numPr>
        <w:ind w:left="0" w:firstLine="482"/>
        <w:spacing w:line="360" w:lineRule="auto"/>
        <w:tabs>
          <w:tab w:val="left" w:pos="993" w:leader="none"/>
        </w:tabs>
        <w:rPr>
          <w:rFonts w:hint="eastAsia"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t xml:space="preserve">响应文件组成及要求</w:t>
      </w:r>
      <w:r>
        <w:rPr>
          <w:color w:val="000000" w:themeColor="text1"/>
          <w:highlight w:val="none"/>
        </w:rPr>
      </w:r>
    </w:p>
    <w:p>
      <w:pPr>
        <w:ind w:left="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文件组成</w:t>
      </w:r>
      <w:r>
        <w:rPr>
          <w:color w:val="000000" w:themeColor="text1"/>
          <w:highlight w:val="none"/>
        </w:rPr>
      </w:r>
    </w:p>
    <w:p>
      <w:pPr>
        <w:numPr>
          <w:ilvl w:val="0"/>
          <w:numId w:val="28"/>
        </w:numPr>
        <w:ind w:left="0" w:firstLine="482"/>
        <w:spacing w:line="360" w:lineRule="auto"/>
        <w:tabs>
          <w:tab w:val="left" w:pos="99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封面</w:t>
      </w:r>
      <w:r>
        <w:rPr>
          <w:color w:val="000000" w:themeColor="text1"/>
          <w:highlight w:val="none"/>
        </w:rPr>
      </w:r>
    </w:p>
    <w:p>
      <w:pPr>
        <w:numPr>
          <w:ilvl w:val="0"/>
          <w:numId w:val="28"/>
        </w:numPr>
        <w:ind w:left="0" w:firstLine="482"/>
        <w:spacing w:line="360" w:lineRule="auto"/>
        <w:tabs>
          <w:tab w:val="left" w:pos="99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磋商报价表</w:t>
      </w:r>
      <w:r>
        <w:rPr>
          <w:color w:val="000000" w:themeColor="text1"/>
          <w:highlight w:val="none"/>
        </w:rPr>
      </w:r>
    </w:p>
    <w:p>
      <w:pPr>
        <w:numPr>
          <w:ilvl w:val="0"/>
          <w:numId w:val="28"/>
        </w:numPr>
        <w:ind w:left="0" w:firstLine="482"/>
        <w:spacing w:line="360" w:lineRule="auto"/>
        <w:tabs>
          <w:tab w:val="left" w:pos="99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磋商分项报价明细表</w:t>
      </w:r>
      <w:r>
        <w:rPr>
          <w:color w:val="000000" w:themeColor="text1"/>
          <w:highlight w:val="none"/>
        </w:rPr>
      </w:r>
    </w:p>
    <w:p>
      <w:pPr>
        <w:numPr>
          <w:ilvl w:val="0"/>
          <w:numId w:val="28"/>
        </w:numPr>
        <w:ind w:left="0" w:firstLine="482"/>
        <w:spacing w:line="360" w:lineRule="auto"/>
        <w:tabs>
          <w:tab w:val="left" w:pos="99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其他针对本次磋商的详细说明</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无对应模块上传的响应文件内容可传至此，含“五、附件”中部分表格、内容。</w:t>
      </w:r>
      <w:r>
        <w:rPr>
          <w:color w:val="000000" w:themeColor="text1"/>
          <w:highlight w:val="none"/>
        </w:rPr>
      </w:r>
    </w:p>
    <w:p>
      <w:pPr>
        <w:numPr>
          <w:ilvl w:val="0"/>
          <w:numId w:val="28"/>
        </w:numPr>
        <w:ind w:left="0" w:firstLine="482"/>
        <w:spacing w:line="360" w:lineRule="auto"/>
        <w:tabs>
          <w:tab w:val="left" w:pos="99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资格审查响应文件</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磋商响应函；</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关于资格文件的声明函；</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法定代表人授权委托书（如有授权）；</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供应商的法定代表人身份证复印件、供应商代理人身份证复印件（如有授权）；</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供应商参加政府采购活动应当具备的条件：</w:t>
      </w:r>
      <w:r>
        <w:rPr>
          <w:color w:val="000000" w:themeColor="text1"/>
          <w:highlight w:val="none"/>
        </w:rPr>
      </w:r>
    </w:p>
    <w:p>
      <w:pPr>
        <w:numPr>
          <w:ilvl w:val="0"/>
          <w:numId w:val="29"/>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具有独立承担民事责任的能力（提供法人或者其他组织的营业执照等证明文件）；</w:t>
      </w:r>
      <w:r>
        <w:rPr>
          <w:color w:val="000000" w:themeColor="text1"/>
          <w:highlight w:val="none"/>
        </w:rPr>
      </w:r>
    </w:p>
    <w:p>
      <w:pPr>
        <w:numPr>
          <w:ilvl w:val="0"/>
          <w:numId w:val="29"/>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具有良好的商业信誉和健全的财务会计制度（提供参加本次政府采购前的财务报表或银行出具的资信证明）；</w:t>
      </w:r>
      <w:r>
        <w:rPr>
          <w:color w:val="000000" w:themeColor="text1"/>
          <w:highlight w:val="none"/>
        </w:rPr>
      </w:r>
    </w:p>
    <w:p>
      <w:pPr>
        <w:numPr>
          <w:ilvl w:val="0"/>
          <w:numId w:val="29"/>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具有履行合同所必须的设备和专业技术能力（企业法人性质的政府采购供应商应在经工商管理部门核准登记注册的经营范围内参与经营活动，提供营业执照或其他证明材料）；</w:t>
      </w:r>
      <w:r>
        <w:rPr>
          <w:color w:val="000000" w:themeColor="text1"/>
          <w:highlight w:val="none"/>
        </w:rPr>
      </w:r>
    </w:p>
    <w:p>
      <w:pPr>
        <w:numPr>
          <w:ilvl w:val="0"/>
          <w:numId w:val="29"/>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有依法缴纳税收和社会保障资金的良好记录（提供参加本次政府采购前一年内（至少一个月的）的依法缴纳税收和社会保障资金的相关材料）；</w:t>
      </w:r>
      <w:r>
        <w:rPr>
          <w:color w:val="000000" w:themeColor="text1"/>
          <w:highlight w:val="none"/>
        </w:rPr>
      </w:r>
    </w:p>
    <w:p>
      <w:pPr>
        <w:numPr>
          <w:ilvl w:val="0"/>
          <w:numId w:val="29"/>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参加政府采购活动前</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年内在经营活动中没有重大违法记录（提供书面声明）；</w:t>
      </w:r>
      <w:r>
        <w:rPr>
          <w:color w:val="000000" w:themeColor="text1"/>
          <w:highlight w:val="none"/>
        </w:rPr>
      </w:r>
    </w:p>
    <w:p>
      <w:pPr>
        <w:numPr>
          <w:ilvl w:val="0"/>
          <w:numId w:val="29"/>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响应单位与其他单位存在控股、管理关系情况表； </w:t>
      </w:r>
      <w:r>
        <w:rPr>
          <w:color w:val="000000" w:themeColor="text1"/>
          <w:highlight w:val="none"/>
        </w:rPr>
      </w:r>
    </w:p>
    <w:p>
      <w:pPr>
        <w:numPr>
          <w:ilvl w:val="0"/>
          <w:numId w:val="28"/>
        </w:numPr>
        <w:ind w:left="0" w:firstLine="482"/>
        <w:spacing w:line="360" w:lineRule="auto"/>
        <w:tabs>
          <w:tab w:val="left" w:pos="99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符合性审查响应文件</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服务要求偏离表；</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投标（响应）保证承诺书；</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其他需供应商对本次响应的详细说明、承诺；</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廉洁从业告知函及回执。</w:t>
      </w:r>
      <w:r>
        <w:rPr>
          <w:color w:val="000000" w:themeColor="text1"/>
          <w:highlight w:val="none"/>
        </w:rPr>
      </w:r>
    </w:p>
    <w:p>
      <w:pPr>
        <w:numPr>
          <w:ilvl w:val="0"/>
          <w:numId w:val="28"/>
        </w:numPr>
        <w:ind w:left="0" w:firstLine="482"/>
        <w:spacing w:line="360" w:lineRule="auto"/>
        <w:tabs>
          <w:tab w:val="left" w:pos="99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综合评审响应文件</w:t>
      </w:r>
      <w:r>
        <w:rPr>
          <w:color w:val="000000" w:themeColor="text1"/>
          <w:highlight w:val="none"/>
        </w:rPr>
      </w:r>
    </w:p>
    <w:p>
      <w:pPr>
        <w:numPr>
          <w:ilvl w:val="1"/>
          <w:numId w:val="28"/>
        </w:numPr>
        <w:ind w:left="0" w:firstLine="480"/>
        <w:spacing w:line="360" w:lineRule="auto"/>
        <w:tabs>
          <w:tab w:val="left" w:pos="993" w:leader="none"/>
          <w:tab w:val="left" w:pos="1134"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项目具体实施方案；</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履约期限、后续服务等响应承诺；</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与本次磋商有关的其他资料。</w:t>
      </w:r>
      <w:r>
        <w:rPr>
          <w:color w:val="000000" w:themeColor="text1"/>
          <w:highlight w:val="none"/>
        </w:rPr>
      </w:r>
    </w:p>
    <w:p>
      <w:pPr>
        <w:numPr>
          <w:ilvl w:val="0"/>
          <w:numId w:val="28"/>
        </w:numPr>
        <w:ind w:left="0" w:firstLine="482"/>
        <w:spacing w:line="360" w:lineRule="auto"/>
        <w:tabs>
          <w:tab w:val="left" w:pos="99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企业报价折扣证明</w:t>
      </w:r>
      <w:r>
        <w:rPr>
          <w:color w:val="000000" w:themeColor="text1"/>
          <w:highlight w:val="none"/>
        </w:rPr>
      </w:r>
    </w:p>
    <w:p>
      <w:pPr>
        <w:numPr>
          <w:ilvl w:val="1"/>
          <w:numId w:val="28"/>
        </w:numPr>
        <w:ind w:left="0" w:firstLine="480"/>
        <w:spacing w:line="360" w:lineRule="auto"/>
        <w:tabs>
          <w:tab w:val="left" w:pos="99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中型、小型或微型企业、残疾人企业、监狱企业的相关材料。</w:t>
      </w:r>
      <w:r>
        <w:rPr>
          <w:color w:val="000000" w:themeColor="text1"/>
          <w:highlight w:val="none"/>
        </w:rPr>
      </w:r>
    </w:p>
    <w:p>
      <w:pPr>
        <w:ind w:firstLine="480"/>
        <w:spacing w:line="360" w:lineRule="auto"/>
        <w:tabs>
          <w:tab w:val="left" w:pos="993" w:leader="none"/>
        </w:tabs>
        <w:rPr>
          <w:rFonts w:ascii="宋体"/>
          <w:color w:val="000000" w:themeColor="text1"/>
          <w:sz w:val="24"/>
          <w:szCs w:val="24"/>
          <w:highlight w:val="none"/>
        </w:rPr>
      </w:pPr>
      <w:r>
        <w:rPr>
          <w:rFonts w:hint="eastAsia" w:ascii="宋体" w:hAnsi="宋体"/>
          <w:color w:val="000000" w:themeColor="text1"/>
          <w:sz w:val="24"/>
          <w:szCs w:val="24"/>
          <w:highlight w:val="none"/>
        </w:rPr>
        <w:t xml:space="preserve">注：响应单位成交后须提供一份与电子响应文件内容一致的纸质响应文件（装订成册）。</w:t>
      </w:r>
      <w:r>
        <w:rPr>
          <w:color w:val="000000" w:themeColor="text1"/>
          <w:highlight w:val="none"/>
        </w:rPr>
      </w:r>
    </w:p>
    <w:p>
      <w:pPr>
        <w:pStyle w:val="811"/>
        <w:ind w:left="568" w:firstLine="0"/>
        <w:spacing w:line="360" w:lineRule="auto"/>
        <w:rPr>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注：</w:t>
      </w:r>
      <w:r>
        <w:rPr>
          <w:rFonts w:hint="eastAsia" w:ascii="宋体" w:hAnsi="宋体" w:cs="宋体"/>
          <w:b/>
          <w:bCs/>
          <w:color w:val="000000" w:themeColor="text1"/>
          <w:sz w:val="24"/>
          <w:szCs w:val="24"/>
          <w:highlight w:val="none"/>
        </w:rPr>
        <w:t xml:space="preserve">（1）以上</w:t>
      </w:r>
      <w:r>
        <w:rPr>
          <w:rFonts w:ascii="宋体" w:hAnsi="宋体" w:cs="宋体"/>
          <w:b/>
          <w:bCs/>
          <w:color w:val="000000" w:themeColor="text1"/>
          <w:sz w:val="24"/>
          <w:szCs w:val="24"/>
          <w:highlight w:val="none"/>
        </w:rPr>
        <w:t xml:space="preserve">5</w:t>
      </w:r>
      <w:r>
        <w:rPr>
          <w:rFonts w:hint="eastAsia" w:ascii="宋体" w:hAnsi="宋体" w:cs="宋体"/>
          <w:b/>
          <w:bCs/>
          <w:color w:val="000000" w:themeColor="text1"/>
          <w:sz w:val="24"/>
          <w:szCs w:val="24"/>
          <w:highlight w:val="none"/>
        </w:rPr>
        <w:t xml:space="preserve">.1-</w:t>
      </w:r>
      <w:r>
        <w:rPr>
          <w:rFonts w:ascii="宋体" w:hAnsi="宋体" w:cs="宋体"/>
          <w:b/>
          <w:bCs/>
          <w:color w:val="000000" w:themeColor="text1"/>
          <w:sz w:val="24"/>
          <w:szCs w:val="24"/>
          <w:highlight w:val="none"/>
        </w:rPr>
        <w:t xml:space="preserve">5</w:t>
      </w:r>
      <w:r>
        <w:rPr>
          <w:rFonts w:hint="eastAsia" w:ascii="宋体" w:hAnsi="宋体" w:cs="宋体"/>
          <w:b/>
          <w:bCs/>
          <w:color w:val="000000" w:themeColor="text1"/>
          <w:sz w:val="24"/>
          <w:szCs w:val="24"/>
          <w:highlight w:val="none"/>
        </w:rPr>
        <w:t xml:space="preserve">.</w:t>
      </w:r>
      <w:r>
        <w:rPr>
          <w:rFonts w:ascii="宋体" w:hAnsi="宋体" w:cs="宋体"/>
          <w:b/>
          <w:bCs/>
          <w:color w:val="000000" w:themeColor="text1"/>
          <w:sz w:val="24"/>
          <w:szCs w:val="24"/>
          <w:highlight w:val="none"/>
        </w:rPr>
        <w:t xml:space="preserve">5</w:t>
      </w:r>
      <w:r>
        <w:rPr>
          <w:rFonts w:hint="eastAsia" w:ascii="宋体" w:hAnsi="宋体" w:cs="宋体"/>
          <w:b/>
          <w:bCs/>
          <w:color w:val="000000" w:themeColor="text1"/>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color w:val="000000" w:themeColor="text1"/>
          <w:highlight w:val="none"/>
        </w:rPr>
      </w:r>
    </w:p>
    <w:p>
      <w:pPr>
        <w:pStyle w:val="811"/>
        <w:ind w:left="568" w:firstLine="0"/>
        <w:spacing w:line="360" w:lineRule="auto"/>
        <w:rPr>
          <w:color w:val="000000" w:themeColor="text1"/>
          <w:sz w:val="24"/>
          <w:szCs w:val="24"/>
          <w:highlight w:val="none"/>
        </w:rPr>
      </w:pPr>
      <w:r>
        <w:rPr>
          <w:rFonts w:hint="eastAsia" w:ascii="宋体" w:hAnsi="宋体" w:cs="宋体"/>
          <w:b/>
          <w:bCs/>
          <w:color w:val="000000" w:themeColor="text1"/>
          <w:sz w:val="24"/>
          <w:szCs w:val="24"/>
          <w:highlight w:val="none"/>
        </w:rPr>
        <w:t xml:space="preserve">（2）以上</w:t>
      </w:r>
      <w:r>
        <w:rPr>
          <w:rFonts w:ascii="宋体" w:hAnsi="宋体" w:cs="宋体"/>
          <w:b/>
          <w:bCs/>
          <w:color w:val="000000" w:themeColor="text1"/>
          <w:sz w:val="24"/>
          <w:szCs w:val="24"/>
          <w:highlight w:val="none"/>
        </w:rPr>
        <w:t xml:space="preserve">6</w:t>
      </w:r>
      <w:r>
        <w:rPr>
          <w:rFonts w:hint="eastAsia" w:ascii="宋体" w:hAnsi="宋体" w:cs="宋体"/>
          <w:b/>
          <w:bCs/>
          <w:color w:val="000000" w:themeColor="text1"/>
          <w:sz w:val="24"/>
          <w:szCs w:val="24"/>
          <w:highlight w:val="none"/>
        </w:rPr>
        <w:t xml:space="preserve">.1-</w:t>
      </w:r>
      <w:r>
        <w:rPr>
          <w:rFonts w:ascii="宋体" w:hAnsi="宋体" w:cs="宋体"/>
          <w:b/>
          <w:bCs/>
          <w:color w:val="000000" w:themeColor="text1"/>
          <w:sz w:val="24"/>
          <w:szCs w:val="24"/>
          <w:highlight w:val="none"/>
        </w:rPr>
        <w:t xml:space="preserve">6</w:t>
      </w:r>
      <w:r>
        <w:rPr>
          <w:rFonts w:hint="eastAsia" w:ascii="宋体" w:hAnsi="宋体" w:cs="宋体"/>
          <w:b/>
          <w:bCs/>
          <w:color w:val="000000" w:themeColor="text1"/>
          <w:sz w:val="24"/>
          <w:szCs w:val="24"/>
          <w:highlight w:val="none"/>
        </w:rPr>
        <w:t xml:space="preserve">.</w:t>
      </w:r>
      <w:r>
        <w:rPr>
          <w:rFonts w:ascii="宋体" w:hAnsi="宋体" w:cs="宋体"/>
          <w:b/>
          <w:bCs/>
          <w:color w:val="000000" w:themeColor="text1"/>
          <w:sz w:val="24"/>
          <w:szCs w:val="24"/>
          <w:highlight w:val="none"/>
        </w:rPr>
        <w:t xml:space="preserve">4</w:t>
      </w:r>
      <w:r>
        <w:rPr>
          <w:rFonts w:hint="eastAsia" w:ascii="宋体" w:hAnsi="宋体" w:cs="宋体"/>
          <w:b/>
          <w:bCs/>
          <w:color w:val="000000" w:themeColor="text1"/>
          <w:sz w:val="24"/>
          <w:szCs w:val="24"/>
          <w:highlight w:val="none"/>
        </w:rPr>
        <w:t xml:space="preserve">为符合性审查须提供的资料，响应供应商必须提供并加盖电子公章。否则，磋商响应文件将被认定为未实质性响应。</w:t>
      </w:r>
      <w:r>
        <w:rPr>
          <w:color w:val="000000" w:themeColor="text1"/>
          <w:highlight w:val="none"/>
        </w:rPr>
      </w:r>
    </w:p>
    <w:p>
      <w:pPr>
        <w:pStyle w:val="811"/>
        <w:ind w:left="568" w:firstLine="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（3）制作电子响应文件时必须与投标文件制作软件目录一一对应，将相关资料上传至相应模块</w:t>
      </w:r>
      <w:r>
        <w:rPr>
          <w:rFonts w:hint="eastAsia" w:ascii="宋体" w:hAnsi="宋体"/>
          <w:b/>
          <w:color w:val="000000" w:themeColor="text1"/>
          <w:sz w:val="24"/>
          <w:szCs w:val="24"/>
          <w:highlight w:val="none"/>
        </w:rPr>
        <w:t xml:space="preserve">，如未按照系统中模块上传的，相关不利后果(如资格审查不通过、符合性审查不通过)由供应商自行承担。</w:t>
      </w:r>
      <w:r>
        <w:rPr>
          <w:color w:val="000000" w:themeColor="text1"/>
          <w:highlight w:val="none"/>
        </w:rPr>
      </w:r>
    </w:p>
    <w:p>
      <w:pPr>
        <w:pStyle w:val="811"/>
        <w:ind w:left="568" w:firstLine="0"/>
        <w:spacing w:line="360"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（4）磋商响应文件编制要求：</w:t>
      </w:r>
      <w:r>
        <w:rPr>
          <w:rFonts w:hint="eastAsia" w:ascii="宋体" w:hAnsi="宋体" w:cs="宋体"/>
          <w:bCs/>
          <w:color w:val="000000" w:themeColor="text1"/>
          <w:sz w:val="24"/>
          <w:szCs w:val="24"/>
          <w:highlight w:val="none"/>
        </w:rPr>
        <w:t xml:space="preserve">本项目采用电子招投标形式，请供应商按照《苏采云系统供应商操作手册》进行制作、上传电子响应文件。</w:t>
      </w:r>
      <w:r>
        <w:rPr>
          <w:rFonts w:hint="eastAsia" w:ascii="宋体" w:hAnsi="宋体" w:cs="宋体"/>
          <w:b/>
          <w:bCs/>
          <w:color w:val="000000" w:themeColor="text1"/>
          <w:sz w:val="24"/>
          <w:szCs w:val="24"/>
          <w:highlight w:val="none"/>
        </w:rPr>
        <w:t xml:space="preserve">电子响应文件制作完成后请于响应文件递交截止时间前成功上传至“苏采云”系统，否则视为放弃参加该采购项目。</w:t>
      </w:r>
      <w:r>
        <w:rPr>
          <w:rFonts w:hint="eastAsia" w:ascii="宋体" w:hAnsi="宋体" w:cs="宋体"/>
          <w:bCs/>
          <w:color w:val="000000" w:themeColor="text1"/>
          <w:sz w:val="24"/>
          <w:szCs w:val="24"/>
          <w:highlight w:val="none"/>
        </w:rPr>
        <w:t xml:space="preserve">供应商应充分考虑到网络环境、网络带宽等风险因素，如因供应商自身原因造成的电子响应文件上传不成功由供应商自行承担全部责任。</w:t>
      </w:r>
      <w:r>
        <w:rPr>
          <w:color w:val="000000" w:themeColor="text1"/>
          <w:highlight w:val="none"/>
        </w:rPr>
      </w:r>
    </w:p>
    <w:p>
      <w:pPr>
        <w:pStyle w:val="811"/>
        <w:ind w:left="568" w:firstLine="0"/>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color w:val="000000" w:themeColor="text1"/>
          <w:highlight w:val="none"/>
        </w:rPr>
      </w:r>
    </w:p>
    <w:p>
      <w:pPr>
        <w:pStyle w:val="811"/>
        <w:ind w:left="568" w:firstLine="0"/>
        <w:spacing w:line="360" w:lineRule="auto"/>
        <w:rPr>
          <w:color w:val="000000" w:themeColor="text1"/>
          <w:sz w:val="24"/>
          <w:szCs w:val="24"/>
          <w:highlight w:val="none"/>
        </w:rPr>
      </w:pPr>
      <w:r>
        <w:rPr>
          <w:rFonts w:hint="eastAsia" w:ascii="宋体" w:hAnsi="宋体" w:cs="宋体"/>
          <w:color w:val="000000" w:themeColor="text1"/>
          <w:sz w:val="24"/>
          <w:szCs w:val="24"/>
          <w:highlight w:val="none"/>
        </w:rPr>
        <w:t xml:space="preserve">7、落实政府采购政策需满足的资格要求：</w:t>
      </w:r>
      <w:r>
        <w:rPr>
          <w:rFonts w:hint="eastAsia" w:ascii="宋体" w:hAnsi="宋体" w:cs="宋体"/>
          <w:b/>
          <w:color w:val="000000" w:themeColor="text1"/>
          <w:sz w:val="24"/>
          <w:szCs w:val="24"/>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szCs w:val="24"/>
          <w:highlight w:val="none"/>
        </w:rPr>
        <w:t xml:space="preserve">。</w:t>
      </w:r>
      <w:r>
        <w:rPr>
          <w:color w:val="000000" w:themeColor="text1"/>
          <w:highlight w:val="none"/>
        </w:rPr>
      </w:r>
    </w:p>
    <w:p>
      <w:pPr>
        <w:pStyle w:val="811"/>
        <w:ind w:left="568"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8、本项目的特定资格要求：无</w:t>
      </w:r>
      <w:r>
        <w:rPr>
          <w:color w:val="000000" w:themeColor="text1"/>
          <w:highlight w:val="none"/>
        </w:rPr>
      </w:r>
    </w:p>
    <w:p>
      <w:pPr>
        <w:pStyle w:val="811"/>
        <w:ind w:left="568"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9、联合体及转包、分包：本项目不接受联合体，不得转包、分包本项目。</w:t>
      </w:r>
      <w:r>
        <w:rPr>
          <w:color w:val="000000" w:themeColor="text1"/>
          <w:highlight w:val="none"/>
        </w:rPr>
      </w:r>
    </w:p>
    <w:p>
      <w:pPr>
        <w:pStyle w:val="811"/>
        <w:ind w:left="568" w:firstLine="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（三）供应商信用记录</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w:t>
      </w:r>
      <w:r>
        <w:rPr>
          <w:rFonts w:hint="eastAsia" w:ascii="宋体" w:hAnsi="宋体" w:cs="宋体"/>
          <w:color w:val="000000" w:themeColor="text1"/>
          <w:sz w:val="24"/>
          <w:szCs w:val="24"/>
          <w:highlight w:val="none"/>
        </w:rPr>
        <w:t xml:space="preserve">根据评审小组确认的失信信息，登录到相关来源网站页面进行复核并打印，作为证据留存。</w:t>
      </w:r>
      <w:r>
        <w:rPr>
          <w:color w:val="000000" w:themeColor="text1"/>
          <w:highlight w:val="none"/>
        </w:rPr>
      </w:r>
    </w:p>
    <w:p>
      <w:pPr>
        <w:ind w:firstLine="482"/>
        <w:spacing w:line="360" w:lineRule="auto"/>
        <w:tabs>
          <w:tab w:val="left" w:pos="993"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（四）成交服务费：</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收费标准：在领取成交通知书时成交单位向招标代理机构一次性付清。按照预算金额的如下比例进行计算：即100万元以内1.5%、100～500万元以1.1%、500~1000万元以0.8%，差额定率累进法计算并支付成交服务费</w:t>
      </w:r>
      <w:r>
        <w:rPr>
          <w:rFonts w:hint="eastAsia" w:ascii="宋体" w:hAnsi="宋体" w:cs="宋体"/>
          <w:color w:val="000000" w:themeColor="text1"/>
          <w:sz w:val="24"/>
          <w:szCs w:val="24"/>
          <w:highlight w:val="none"/>
          <w:lang w:val="zh-CN"/>
        </w:rPr>
        <w:t xml:space="preserve">。</w:t>
      </w:r>
      <w:r>
        <w:rPr>
          <w:color w:val="000000" w:themeColor="text1"/>
          <w:highlight w:val="none"/>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（五）电子响应文件制作要求：</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制作电子响应文件时必须与投标文件制作软件目录一一对应，将相关资料上传至相应模块。</w:t>
      </w:r>
      <w:r>
        <w:rPr>
          <w:color w:val="000000" w:themeColor="text1"/>
          <w:highlight w:val="none"/>
        </w:rPr>
      </w:r>
    </w:p>
    <w:p>
      <w:pPr>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rPr>
          <w:color w:val="000000" w:themeColor="text1"/>
          <w:highlight w:val="none"/>
        </w:rPr>
      </w:r>
    </w:p>
    <w:p>
      <w:pPr>
        <w:ind w:firstLine="48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（六）响应文件要求：</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bCs/>
          <w:color w:val="000000" w:themeColor="text1"/>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电子响应文件中的资料应按要求加盖电子印章或加盖响应供应商公章上传。</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磋商截止时间</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3.1</w:t>
      </w:r>
      <w:r>
        <w:rPr>
          <w:rFonts w:hint="eastAsia" w:ascii="宋体" w:hAnsi="宋体" w:cs="宋体"/>
          <w:color w:val="000000" w:themeColor="text1"/>
          <w:sz w:val="24"/>
          <w:szCs w:val="24"/>
          <w:highlight w:val="none"/>
        </w:rPr>
        <w:t xml:space="preserve">响应供应商应当在采购文件要求提交响应文件的截止时间前，将响应文件上传系统。</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3.2</w:t>
      </w:r>
      <w:r>
        <w:rPr>
          <w:rFonts w:hint="eastAsia" w:ascii="宋体" w:hAnsi="宋体" w:cs="宋体"/>
          <w:color w:val="000000" w:themeColor="text1"/>
          <w:sz w:val="24"/>
          <w:szCs w:val="24"/>
          <w:highlight w:val="none"/>
        </w:rPr>
        <w:t xml:space="preserve">采购人或者采购代理机构推迟磋商截止时间时的，应以网上补充公告形式通知所有响应供应商。在这种情况下，采购人或者采购代理机构和响应供应商的权利和义务将受到新的截止期的约束。</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响应文件的修改和撤回</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4.1</w:t>
      </w:r>
      <w:r>
        <w:rPr>
          <w:rFonts w:hint="eastAsia" w:ascii="宋体" w:hAnsi="宋体" w:cs="宋体"/>
          <w:color w:val="000000" w:themeColor="text1"/>
          <w:sz w:val="24"/>
          <w:szCs w:val="24"/>
          <w:highlight w:val="none"/>
        </w:rPr>
        <w:t xml:space="preserve">响应供应商在磋商截止时间前，可以对所递交的响应文件进行补充、修改或者撤回，并书面通知采购人或者采购代理机构。补充、修改的内容应当按照采购文件要求签署、盖章、密封后，作为响应文件的组成部分。</w:t>
      </w:r>
      <w:r>
        <w:rPr>
          <w:color w:val="000000" w:themeColor="text1"/>
          <w:highlight w:val="none"/>
        </w:rPr>
      </w:r>
    </w:p>
    <w:p>
      <w:pPr>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（七）磋商采购程序</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.磋商采购程序</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1.1</w:t>
      </w:r>
      <w:r>
        <w:rPr>
          <w:rFonts w:hint="eastAsia" w:ascii="宋体" w:hAnsi="宋体" w:cs="宋体"/>
          <w:color w:val="000000" w:themeColor="text1"/>
          <w:sz w:val="24"/>
          <w:szCs w:val="24"/>
          <w:highlight w:val="none"/>
        </w:rPr>
        <w:t xml:space="preserve">采购代理机构按本须知规定的时间、地点主持磋商采购活动。</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1.2</w:t>
      </w:r>
      <w:r>
        <w:rPr>
          <w:rFonts w:hint="eastAsia" w:ascii="宋体" w:hAnsi="宋体" w:cs="宋体"/>
          <w:color w:val="000000" w:themeColor="text1"/>
          <w:sz w:val="24"/>
          <w:szCs w:val="24"/>
          <w:highlight w:val="none"/>
        </w:rPr>
        <w:t xml:space="preserve">供应商通过“苏采云”系统在线参与磋商活动。供应商应当按照《苏采云系统供应</w:t>
      </w:r>
      <w:r>
        <w:rPr>
          <w:rFonts w:hint="eastAsia" w:ascii="宋体" w:hAnsi="宋体" w:cs="宋体"/>
          <w:color w:val="000000" w:themeColor="text1"/>
          <w:sz w:val="24"/>
          <w:szCs w:val="24"/>
          <w:highlight w:val="none"/>
        </w:rPr>
        <w:t xml:space="preserve">商操作手册》规定在 “苏采云”系统规定的时间内对响应文件进行解密。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1.3</w:t>
      </w:r>
      <w:r>
        <w:rPr>
          <w:rFonts w:hint="eastAsia" w:ascii="宋体" w:hAnsi="宋体" w:cs="宋体"/>
          <w:color w:val="000000" w:themeColor="text1"/>
          <w:sz w:val="24"/>
          <w:szCs w:val="24"/>
          <w:highlight w:val="none"/>
        </w:rPr>
        <w:t xml:space="preserve">在磋商响应文件网上递交截止时间止成功解密的磋商供应商少于三家，则本次采购失败。</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1.4</w:t>
      </w:r>
      <w:r>
        <w:rPr>
          <w:rFonts w:hint="eastAsia" w:ascii="宋体" w:hAnsi="宋体" w:cs="宋体"/>
          <w:color w:val="000000" w:themeColor="text1"/>
          <w:sz w:val="24"/>
          <w:szCs w:val="24"/>
          <w:highlight w:val="none"/>
        </w:rPr>
        <w:t xml:space="preserve">由磋商小组审查供应商解密的响应文件。</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1.5</w:t>
      </w:r>
      <w:r>
        <w:rPr>
          <w:rFonts w:hint="eastAsia" w:ascii="宋体" w:hAnsi="宋体" w:cs="宋体"/>
          <w:color w:val="000000" w:themeColor="text1"/>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1.6</w:t>
      </w:r>
      <w:r>
        <w:rPr>
          <w:rFonts w:hint="eastAsia" w:ascii="宋体" w:hAnsi="宋体" w:cs="宋体"/>
          <w:color w:val="000000" w:themeColor="text1"/>
          <w:sz w:val="24"/>
          <w:szCs w:val="24"/>
          <w:highlight w:val="none"/>
        </w:rPr>
        <w:t xml:space="preserve">.磋商小组要求供应商澄清、说明或者更正响应文件应当以书面形式做出。供应商的澄清、说明或者更正应当由其单位加盖电子公章。</w:t>
      </w:r>
      <w:r>
        <w:rPr>
          <w:color w:val="000000" w:themeColor="text1"/>
          <w:highlight w:val="none"/>
        </w:rPr>
      </w:r>
    </w:p>
    <w:p>
      <w:pPr>
        <w:ind w:firstLine="480"/>
        <w:spacing w:line="360" w:lineRule="auto"/>
        <w:rPr>
          <w:rFonts w:hint="eastAsia" w:ascii="宋体" w:hAnsi="宋体" w:cs="宋体"/>
          <w:b/>
          <w:bCs/>
          <w:color w:val="000000" w:themeColor="text1"/>
          <w:sz w:val="24"/>
          <w:szCs w:val="24"/>
          <w:highlight w:val="none"/>
        </w:rPr>
      </w:pPr>
      <w:r>
        <w:rPr>
          <w:rFonts w:ascii="宋体" w:hAnsi="宋体" w:cs="宋体"/>
          <w:color w:val="000000" w:themeColor="text1"/>
          <w:sz w:val="24"/>
          <w:szCs w:val="24"/>
          <w:highlight w:val="none"/>
        </w:rPr>
        <w:t xml:space="preserve">1.6.1</w:t>
      </w:r>
      <w:r>
        <w:rPr>
          <w:rFonts w:hint="eastAsia" w:ascii="宋体" w:hAnsi="宋体" w:cs="宋体"/>
          <w:color w:val="000000" w:themeColor="text1"/>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1.7</w:t>
      </w:r>
      <w:r>
        <w:rPr>
          <w:rFonts w:hint="eastAsia" w:ascii="宋体" w:hAnsi="宋体" w:cs="宋体"/>
          <w:color w:val="000000" w:themeColor="text1"/>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1.8</w:t>
      </w:r>
      <w:r>
        <w:rPr>
          <w:rFonts w:hint="eastAsia" w:ascii="宋体" w:hAnsi="宋体" w:cs="宋体"/>
          <w:color w:val="000000" w:themeColor="text1"/>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1.9</w:t>
      </w:r>
      <w:r>
        <w:rPr>
          <w:rFonts w:hint="eastAsia" w:ascii="宋体" w:hAnsi="宋体" w:cs="宋体"/>
          <w:color w:val="000000" w:themeColor="text1"/>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1.10</w:t>
      </w:r>
      <w:r>
        <w:rPr>
          <w:rFonts w:hint="eastAsia" w:ascii="宋体" w:hAnsi="宋体" w:cs="宋体"/>
          <w:color w:val="000000" w:themeColor="text1"/>
          <w:sz w:val="24"/>
          <w:szCs w:val="24"/>
          <w:highlight w:val="none"/>
        </w:rPr>
        <w:t xml:space="preserve">最后报价</w:t>
      </w:r>
      <w:r>
        <w:rPr>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1.10.1供应商未在磋商小组规定的时间内（1</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分钟）在“苏采云”系统中提交最后报价的视为放弃磋商，其响应文件按无效响应处理，最后报价格式表须加盖CA电子公章,否则视为未提交最后报价。</w:t>
      </w:r>
      <w:r>
        <w:rPr>
          <w:rFonts w:hint="eastAsia" w:ascii="宋体" w:hAnsi="宋体" w:cs="宋体"/>
          <w:b/>
          <w:bCs/>
          <w:color w:val="000000" w:themeColor="text1"/>
          <w:sz w:val="24"/>
          <w:szCs w:val="24"/>
          <w:highlight w:val="none"/>
        </w:rPr>
        <w:t xml:space="preserve">（此处规定时间的计算以系统中的倒计时间为准，系统中的线上最后报价只有一次机会，提交后无法撤回，请供应商慎重提交）</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1.10.2</w:t>
      </w:r>
      <w:r>
        <w:rPr>
          <w:rFonts w:hint="eastAsia" w:ascii="宋体" w:hAnsi="宋体" w:cs="宋体"/>
          <w:color w:val="000000" w:themeColor="text1"/>
          <w:sz w:val="24"/>
          <w:szCs w:val="24"/>
          <w:highlight w:val="none"/>
        </w:rPr>
        <w:t xml:space="preserve">已提交响应文件的供应商，在提交最后报价之前，可以根据磋商情况退出磋商，并在“苏采云”系统中提交“退出磋商函”并加盖CA电子公章。</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10.3进入项目评审流程后，建议各供应商法定代表人或授权委托人始终保持通讯顺畅，时刻关注不见面开标大厅，不离开不见面开标大厅。</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10.4供应商根据磋商情况进行承诺说明并填写承诺函、填写最后报价（未填写单价的，合同单价按最后报价比第一次报价同比例下（上）浮）。</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10.5最后报价及承诺函是响应供应商响应文件的有效组成部分，且最后报价超采购预算者无成交资格。</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1.11</w:t>
      </w:r>
      <w:r>
        <w:rPr>
          <w:rFonts w:hint="eastAsia" w:ascii="宋体" w:hAnsi="宋体" w:cs="宋体"/>
          <w:color w:val="000000" w:themeColor="text1"/>
          <w:sz w:val="24"/>
          <w:szCs w:val="24"/>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.12磋商小组根据磋商成交原则确定成交供应商，并将结果通知所有参加磋商的供应商。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.13</w:t>
      </w:r>
      <w:r>
        <w:rPr>
          <w:rFonts w:hint="eastAsia" w:ascii="宋体" w:hAnsi="宋体" w:cs="宋体"/>
          <w:color w:val="000000" w:themeColor="text1"/>
          <w:sz w:val="24"/>
          <w:szCs w:val="24"/>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color w:val="000000" w:themeColor="text1"/>
          <w:sz w:val="24"/>
          <w:szCs w:val="24"/>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szCs w:val="24"/>
          <w:highlight w:val="none"/>
        </w:rPr>
        <w:t xml:space="preserve">1.14</w:t>
      </w:r>
      <w:r>
        <w:rPr>
          <w:rFonts w:hint="eastAsia" w:ascii="宋体" w:hAnsi="宋体" w:cs="宋体"/>
          <w:color w:val="000000" w:themeColor="text1"/>
          <w:sz w:val="24"/>
          <w:szCs w:val="24"/>
          <w:highlight w:val="none"/>
        </w:rPr>
        <w:t xml:space="preserve">如磋商过程中出现本采购文件未尽事宜，由磋商小组根据政府采购有关法律、法规讨论决定。</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（八）竞争性磋商小组</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竞争性磋商小组由采购人代表和评审专家共3人以上单数组成，其中评审专家人数不得少于竞争性磋商小组成员总数的2/3。采购人代表不得以评审专家身份参加本部门或本单位采购项目的评审。</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竞争性磋商小组负责具体的磋商事务，并独立履行以下职责：</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2.1确认或者制定磋商文件；</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2.2从符合相应资格条件的磋商响应供应商名单中确定磋商响应供应商参加磋商；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2.3审查磋商响应供应商的响应文件并作出评价；</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2.4要求磋商响应供应商解释或者澄清其响应文件；</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2.5编写评审报告；</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2.6告知采购人、采购代理机构在评审过程中发现的磋商响应供应商的违法违规行为。</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3.竞争性磋商小组成员应当履行下列义务：</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3.1遵纪守法，客观、公正、廉洁地履行职责；</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3.2按照磋商文件规定的评审办法独立进行评审，对个人的评审意见承担法律责任；</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3.3参与评审报告的起草；</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3.4配合采购人、采购代理机构答复磋商响应供应商提出的质疑；</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3.5配合财政部门的投诉处理和监督检查工作。</w:t>
      </w:r>
      <w:r>
        <w:rPr>
          <w:color w:val="000000" w:themeColor="text1"/>
          <w:highlight w:val="none"/>
        </w:rPr>
      </w:r>
    </w:p>
    <w:p>
      <w:pPr>
        <w:jc w:val="left"/>
        <w:widowControl/>
        <w:rPr>
          <w:rStyle w:val="848"/>
          <w:rFonts w:hint="eastAsia" w:ascii="宋体" w:hAnsi="宋体" w:cs="宋体"/>
          <w:color w:val="000000" w:themeColor="text1"/>
          <w:sz w:val="43"/>
          <w:szCs w:val="43"/>
          <w:highlight w:val="none"/>
        </w:rPr>
      </w:pPr>
      <w:r>
        <w:rPr>
          <w:rStyle w:val="848"/>
          <w:rFonts w:hint="eastAsia" w:ascii="宋体" w:hAnsi="宋体" w:cs="宋体"/>
          <w:color w:val="000000" w:themeColor="text1"/>
          <w:sz w:val="43"/>
          <w:szCs w:val="43"/>
          <w:highlight w:val="none"/>
        </w:rPr>
        <w:br w:type="page" w:clear="all"/>
      </w:r>
      <w:r>
        <w:rPr>
          <w:color w:val="000000" w:themeColor="text1"/>
          <w:highlight w:val="none"/>
        </w:rPr>
      </w:r>
    </w:p>
    <w:p>
      <w:pPr>
        <w:pStyle w:val="842"/>
        <w:jc w:val="center"/>
        <w:spacing w:beforeAutospacing="0" w:afterAutospacing="0"/>
        <w:widowControl/>
        <w:rPr>
          <w:rStyle w:val="848"/>
          <w:rFonts w:ascii="sans-serif" w:hAnsi="sans-serif" w:eastAsia="sans-serif" w:cs="sans-serif"/>
          <w:b w:val="0"/>
          <w:color w:val="000000" w:themeColor="text1"/>
          <w:highlight w:val="none"/>
        </w:rPr>
      </w:pPr>
      <w:r>
        <w:rPr>
          <w:rStyle w:val="848"/>
          <w:rFonts w:hint="eastAsia" w:ascii="宋体" w:hAnsi="宋体" w:cs="宋体"/>
          <w:color w:val="000000" w:themeColor="text1"/>
          <w:sz w:val="43"/>
          <w:szCs w:val="43"/>
          <w:highlight w:val="none"/>
        </w:rPr>
        <w:t xml:space="preserve">第三章 评审方法及评分标准</w:t>
      </w:r>
      <w:r>
        <w:rPr>
          <w:color w:val="000000" w:themeColor="text1"/>
          <w:highlight w:val="none"/>
        </w:rPr>
      </w:r>
    </w:p>
    <w:p>
      <w:pPr>
        <w:spacing w:before="240"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一、评审办法</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1.本次磋商采用综合评分法，即在响应文件满足采购文件全部实质性要求且按评审因素的量化指标评审得分最高的供应商为成交候选供应商。采购人书面授权磋商小组直接确定成交供应商。</w:t>
      </w:r>
      <w:r>
        <w:rPr>
          <w:color w:val="000000" w:themeColor="text1"/>
          <w:highlight w:val="none"/>
        </w:rPr>
      </w:r>
    </w:p>
    <w:p>
      <w:pPr>
        <w:ind w:firstLine="480"/>
        <w:spacing w:line="360" w:lineRule="auto"/>
        <w:rPr>
          <w:color w:val="000000" w:themeColor="text1"/>
          <w:highlight w:val="none"/>
        </w:rPr>
      </w:pPr>
      <w:r>
        <w:rPr>
          <w:rFonts w:hint="eastAsia" w:ascii="宋体" w:hAnsi="宋体"/>
          <w:bCs/>
          <w:color w:val="000000" w:themeColor="text1"/>
          <w:sz w:val="24"/>
          <w:szCs w:val="24"/>
          <w:highlight w:val="none"/>
        </w:rPr>
        <w:t xml:space="preserve">2.评审小组各成员独立对每个进入打分程序的有效磋商供应商的响应文件技术和资质部分以打分的形式进行评审和评价。 </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3.对评委的评分进行统计汇总，直接算术平均计算得分，计算出每个磋商供应商的得分，加上价格得分即为每个磋商供应商的综合得分。 </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rPr>
          <w:color w:val="000000" w:themeColor="text1"/>
          <w:highlight w:val="none"/>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 </w:t>
      </w:r>
      <w:r>
        <w:rPr>
          <w:color w:val="000000" w:themeColor="text1"/>
          <w:highlight w:val="none"/>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（A）查询时间：响应文件递交截止时间。 </w:t>
      </w:r>
      <w:r>
        <w:rPr>
          <w:color w:val="000000" w:themeColor="text1"/>
          <w:highlight w:val="none"/>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B）查询渠道：统一登录苏州市政府采购网的“供应商信用查询”系统查询供应商的信用记录。苏州市政府采购网“供应商信用查询”系统实时提供来自中国政府采购网、信用中国、信用江苏、诚信苏州网站的相关主体信用记录。 </w:t>
      </w:r>
      <w:r>
        <w:rPr>
          <w:color w:val="000000" w:themeColor="text1"/>
          <w:highlight w:val="none"/>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C）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 </w:t>
      </w:r>
      <w:r>
        <w:rPr>
          <w:color w:val="000000" w:themeColor="text1"/>
          <w:highlight w:val="none"/>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（D）信用记录使用规则：评审小组在对供应商进行资格性审查时，应根据查询结果对供应商的不良信用记录逐项甄别确认。 </w:t>
      </w:r>
      <w:r>
        <w:rPr>
          <w:color w:val="000000" w:themeColor="text1"/>
          <w:highlight w:val="none"/>
        </w:rPr>
      </w:r>
    </w:p>
    <w:p>
      <w:pPr>
        <w:pStyle w:val="842"/>
        <w:ind w:firstLine="482"/>
        <w:spacing w:beforeAutospacing="0" w:afterAutospacing="0" w:line="360" w:lineRule="auto"/>
        <w:rPr>
          <w:b/>
          <w:bCs/>
          <w:color w:val="000000" w:themeColor="text1"/>
          <w:highlight w:val="none"/>
        </w:rPr>
        <w:outlineLvl w:val="1"/>
      </w:pPr>
      <w:r>
        <w:rPr>
          <w:b/>
          <w:bCs/>
          <w:color w:val="000000" w:themeColor="text1"/>
          <w:highlight w:val="none"/>
        </w:rPr>
        <w:t xml:space="preserve">二、评分标准</w:t>
      </w:r>
      <w:r>
        <w:rPr>
          <w:color w:val="000000" w:themeColor="text1"/>
          <w:highlight w:val="none"/>
        </w:rPr>
      </w:r>
    </w:p>
    <w:p>
      <w:pPr>
        <w:numPr>
          <w:ilvl w:val="0"/>
          <w:numId w:val="19"/>
        </w:numPr>
        <w:ind w:firstLine="482"/>
        <w:spacing w:line="360" w:lineRule="auto"/>
        <w:tabs>
          <w:tab w:val="left" w:pos="1134" w:leader="none"/>
        </w:tabs>
        <w:rPr>
          <w:rFonts w:hint="eastAsia" w:ascii="宋体" w:hAnsi="宋体"/>
          <w:b/>
          <w:color w:val="000000" w:themeColor="text1"/>
          <w:sz w:val="24"/>
          <w:szCs w:val="24"/>
          <w:highlight w:val="none"/>
        </w:rPr>
        <w:outlineLvl w:val="0"/>
      </w:pPr>
      <w:r>
        <w:rPr>
          <w:rFonts w:hint="eastAsia" w:ascii="宋体" w:hAnsi="宋体"/>
          <w:b/>
          <w:color w:val="000000" w:themeColor="text1"/>
          <w:sz w:val="24"/>
          <w:szCs w:val="24"/>
          <w:highlight w:val="none"/>
        </w:rPr>
        <w:t xml:space="preserve">价格分（</w:t>
      </w:r>
      <w:r>
        <w:rPr>
          <w:rFonts w:ascii="宋体" w:hAnsi="宋体"/>
          <w:b/>
          <w:color w:val="000000" w:themeColor="text1"/>
          <w:sz w:val="24"/>
          <w:szCs w:val="24"/>
          <w:highlight w:val="none"/>
        </w:rPr>
        <w:t xml:space="preserve">20</w:t>
      </w:r>
      <w:r>
        <w:rPr>
          <w:rFonts w:hint="eastAsia" w:ascii="宋体" w:hAnsi="宋体"/>
          <w:b/>
          <w:color w:val="000000" w:themeColor="text1"/>
          <w:sz w:val="24"/>
          <w:szCs w:val="24"/>
          <w:highlight w:val="none"/>
        </w:rPr>
        <w:t xml:space="preserve">分）</w:t>
      </w:r>
      <w:r>
        <w:rPr>
          <w:color w:val="000000" w:themeColor="text1"/>
          <w:highlight w:val="none"/>
        </w:rPr>
      </w:r>
    </w:p>
    <w:p>
      <w:pPr>
        <w:numPr>
          <w:ilvl w:val="0"/>
          <w:numId w:val="20"/>
        </w:numPr>
        <w:ind w:left="0" w:firstLine="480"/>
        <w:spacing w:line="360" w:lineRule="auto"/>
        <w:tabs>
          <w:tab w:val="left" w:pos="425" w:leader="none"/>
          <w:tab w:val="left" w:pos="1134" w:leader="none"/>
          <w:tab w:val="left" w:pos="28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磋商报价在采购预算价格以下的，为有效报价。超出此范围的磋商报价为无效报价。</w:t>
      </w:r>
      <w:r>
        <w:rPr>
          <w:color w:val="000000" w:themeColor="text1"/>
          <w:highlight w:val="none"/>
        </w:rPr>
      </w:r>
    </w:p>
    <w:p>
      <w:pPr>
        <w:numPr>
          <w:ilvl w:val="0"/>
          <w:numId w:val="20"/>
        </w:numPr>
        <w:ind w:left="0" w:firstLine="480"/>
        <w:spacing w:line="360" w:lineRule="auto"/>
        <w:tabs>
          <w:tab w:val="left" w:pos="425" w:leader="none"/>
          <w:tab w:val="left" w:pos="1134" w:leader="none"/>
          <w:tab w:val="left" w:pos="28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价格分采用低价优先法计算，即满足磋商文件要求且磋商报价最低的报价为评审基准价（如响应单位为小型或微型或监狱或残疾人企业的，则用扣除后的价格参与评审），其价格分为</w:t>
      </w:r>
      <w:r>
        <w:rPr>
          <w:rFonts w:ascii="宋体" w:hAnsi="宋体" w:cs="宋体"/>
          <w:color w:val="000000" w:themeColor="text1"/>
          <w:sz w:val="24"/>
          <w:szCs w:val="24"/>
          <w:highlight w:val="none"/>
        </w:rPr>
        <w:t xml:space="preserve">20</w:t>
      </w:r>
      <w:r>
        <w:rPr>
          <w:rFonts w:hint="eastAsia" w:ascii="宋体" w:hAnsi="宋体" w:cs="宋体"/>
          <w:color w:val="000000" w:themeColor="text1"/>
          <w:sz w:val="24"/>
          <w:szCs w:val="24"/>
          <w:highlight w:val="none"/>
        </w:rPr>
        <w:t xml:space="preserve">分。其他磋商响应单位的价格分统一按照下列公式计算：</w:t>
      </w:r>
      <w:r>
        <w:rPr>
          <w:color w:val="000000" w:themeColor="text1"/>
          <w:highlight w:val="none"/>
        </w:rPr>
      </w:r>
    </w:p>
    <w:p>
      <w:pPr>
        <w:numPr>
          <w:ilvl w:val="0"/>
          <w:numId w:val="20"/>
        </w:numPr>
        <w:ind w:left="0" w:firstLine="480"/>
        <w:spacing w:line="360" w:lineRule="auto"/>
        <w:tabs>
          <w:tab w:val="left" w:pos="425" w:leader="none"/>
          <w:tab w:val="left" w:pos="1134" w:leader="none"/>
          <w:tab w:val="left" w:pos="28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磋商报价得分=（评审基准价/磋商报价）×价格权值×100（本次磋商报价权值为</w:t>
      </w:r>
      <w:r>
        <w:rPr>
          <w:rFonts w:ascii="宋体" w:hAnsi="宋体" w:cs="宋体"/>
          <w:color w:val="000000" w:themeColor="text1"/>
          <w:sz w:val="24"/>
          <w:szCs w:val="24"/>
          <w:highlight w:val="none"/>
        </w:rPr>
        <w:t xml:space="preserve">20</w:t>
      </w:r>
      <w:r>
        <w:rPr>
          <w:rFonts w:hint="eastAsia" w:ascii="宋体" w:hAnsi="宋体" w:cs="宋体"/>
          <w:color w:val="000000" w:themeColor="text1"/>
          <w:sz w:val="24"/>
          <w:szCs w:val="24"/>
          <w:highlight w:val="none"/>
        </w:rPr>
        <w:t xml:space="preserve">%）（保留小数点后二位）。</w:t>
      </w:r>
      <w:r>
        <w:rPr>
          <w:color w:val="000000" w:themeColor="text1"/>
          <w:highlight w:val="none"/>
        </w:rPr>
      </w:r>
    </w:p>
    <w:p>
      <w:pPr>
        <w:ind w:firstLine="200"/>
        <w:spacing w:line="360" w:lineRule="auto"/>
        <w:tabs>
          <w:tab w:val="left" w:pos="1134" w:leader="none"/>
          <w:tab w:val="left" w:pos="28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numPr>
          <w:ilvl w:val="0"/>
          <w:numId w:val="19"/>
        </w:numPr>
        <w:ind w:firstLine="482"/>
        <w:spacing w:line="360" w:lineRule="auto"/>
        <w:tabs>
          <w:tab w:val="left" w:pos="1134" w:leader="none"/>
        </w:tabs>
        <w:rPr>
          <w:rFonts w:hint="eastAsia" w:ascii="宋体" w:hAnsi="宋体" w:cs="宋体"/>
          <w:b/>
          <w:color w:val="000000" w:themeColor="text1"/>
          <w:sz w:val="24"/>
          <w:szCs w:val="24"/>
          <w:highlight w:val="none"/>
        </w:rPr>
        <w:outlineLvl w:val="0"/>
      </w:pPr>
      <w:r>
        <w:rPr>
          <w:rFonts w:hint="eastAsia" w:ascii="宋体" w:hAnsi="宋体" w:cs="宋体"/>
          <w:b/>
          <w:bCs/>
          <w:color w:val="000000" w:themeColor="text1"/>
          <w:sz w:val="24"/>
          <w:szCs w:val="24"/>
          <w:highlight w:val="none"/>
        </w:rPr>
        <w:t xml:space="preserve">投标人康复服务方案（</w:t>
      </w:r>
      <w:r>
        <w:rPr>
          <w:rFonts w:ascii="宋体" w:hAnsi="宋体" w:cs="宋体"/>
          <w:b/>
          <w:bCs/>
          <w:color w:val="000000" w:themeColor="text1"/>
          <w:sz w:val="24"/>
          <w:szCs w:val="24"/>
          <w:highlight w:val="none"/>
        </w:rPr>
        <w:t xml:space="preserve">42</w:t>
      </w:r>
      <w:r>
        <w:rPr>
          <w:rFonts w:hint="eastAsia" w:ascii="宋体" w:hAnsi="宋体" w:cs="宋体"/>
          <w:b/>
          <w:bCs/>
          <w:color w:val="000000" w:themeColor="text1"/>
          <w:sz w:val="24"/>
          <w:szCs w:val="24"/>
          <w:highlight w:val="none"/>
        </w:rPr>
        <w:t xml:space="preserve">分）</w:t>
      </w:r>
      <w:r>
        <w:rPr>
          <w:color w:val="000000" w:themeColor="text1"/>
          <w:highlight w:val="none"/>
        </w:rPr>
      </w:r>
    </w:p>
    <w:p>
      <w:pPr>
        <w:numPr>
          <w:ilvl w:val="0"/>
          <w:numId w:val="21"/>
        </w:numPr>
        <w:ind w:left="0" w:firstLine="480"/>
        <w:spacing w:line="360" w:lineRule="auto"/>
        <w:tabs>
          <w:tab w:val="left" w:pos="284" w:leader="none"/>
          <w:tab w:val="left" w:pos="1134" w:leader="none"/>
          <w:tab w:val="left" w:pos="257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对响应单位所提供的出、入机构评估内容比较（</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 </w:t>
      </w:r>
      <w:r>
        <w:rPr>
          <w:color w:val="000000" w:themeColor="text1"/>
          <w:highlight w:val="none"/>
        </w:rPr>
      </w:r>
    </w:p>
    <w:p>
      <w:pPr>
        <w:ind w:firstLine="480"/>
        <w:spacing w:line="360" w:lineRule="auto"/>
        <w:tabs>
          <w:tab w:val="left" w:pos="284"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粗大运动、精细运动、生活自理、感知能力评估、认知能力评估、语言交往能力评估、生活自理能力评估、社会适应能力评估和感觉统合能力评估，评估内容完整合理得</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分，评估内容较完整得</w:t>
      </w: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分，评估内容基本满足项目需求得1分。未提供的不得分。</w:t>
      </w:r>
      <w:r>
        <w:rPr>
          <w:color w:val="000000" w:themeColor="text1"/>
          <w:highlight w:val="none"/>
        </w:rPr>
      </w:r>
    </w:p>
    <w:p>
      <w:pPr>
        <w:numPr>
          <w:ilvl w:val="0"/>
          <w:numId w:val="21"/>
        </w:numPr>
        <w:ind w:left="0" w:firstLine="480"/>
        <w:spacing w:line="360" w:lineRule="auto"/>
        <w:tabs>
          <w:tab w:val="left" w:pos="284" w:leader="none"/>
          <w:tab w:val="left" w:pos="1134" w:leader="none"/>
          <w:tab w:val="left" w:pos="257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对响应单位定期评估频次与内容比较（</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spacing w:line="360" w:lineRule="auto"/>
        <w:tabs>
          <w:tab w:val="left" w:pos="284"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提供定期评估方案（每季度评估一次），作为康复训练针对性的依据，评估内容完整详细得</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分，评估内容较完整得</w:t>
      </w: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分，评估内容基本满足项目需求得1分。未提供的不得分。</w:t>
      </w:r>
      <w:r>
        <w:rPr>
          <w:color w:val="000000" w:themeColor="text1"/>
          <w:highlight w:val="none"/>
        </w:rPr>
      </w:r>
    </w:p>
    <w:p>
      <w:pPr>
        <w:numPr>
          <w:ilvl w:val="0"/>
          <w:numId w:val="21"/>
        </w:numPr>
        <w:ind w:left="0" w:firstLine="480"/>
        <w:spacing w:line="360" w:lineRule="auto"/>
        <w:tabs>
          <w:tab w:val="left" w:pos="284" w:leader="none"/>
          <w:tab w:val="left" w:pos="1134" w:leader="none"/>
          <w:tab w:val="left" w:pos="257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训练内容比较（</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提供训练内容介绍，包括运动能力训练、感知能力训练、认知能力训练、语言交往能力训练、生活自理能力训练、社会适应能力训练和感觉统合能力训练，训练内容齐全描述详细得</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分，训练内容尚完整可行得</w:t>
      </w: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分，训练内容基本符合项目需求得1分。未提供的不得分。</w:t>
      </w:r>
      <w:r>
        <w:rPr>
          <w:color w:val="000000" w:themeColor="text1"/>
          <w:highlight w:val="none"/>
        </w:rPr>
      </w:r>
    </w:p>
    <w:p>
      <w:pPr>
        <w:numPr>
          <w:ilvl w:val="0"/>
          <w:numId w:val="21"/>
        </w:numPr>
        <w:ind w:left="0" w:firstLine="480"/>
        <w:spacing w:line="360" w:lineRule="auto"/>
        <w:tabs>
          <w:tab w:val="left" w:pos="284" w:leader="none"/>
          <w:tab w:val="left" w:pos="1134" w:leader="none"/>
          <w:tab w:val="left" w:pos="257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训练时间安排（</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提供针对不同对象的训练时间计划。可根据残疾类别及残疾程度不同适当调整个人训练时间，训练时间安排充裕并适当增加训练时间得</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分，训练时间安排较为充裕得</w:t>
      </w: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分，训练内容基本符合项目需求得1分。未提供的不得分。</w:t>
      </w:r>
      <w:r>
        <w:rPr>
          <w:color w:val="000000" w:themeColor="text1"/>
          <w:highlight w:val="none"/>
        </w:rPr>
      </w:r>
    </w:p>
    <w:p>
      <w:pPr>
        <w:numPr>
          <w:ilvl w:val="0"/>
          <w:numId w:val="21"/>
        </w:numPr>
        <w:ind w:left="0" w:firstLine="480"/>
        <w:spacing w:line="360" w:lineRule="auto"/>
        <w:tabs>
          <w:tab w:val="left" w:pos="284" w:leader="none"/>
          <w:tab w:val="left" w:pos="1134" w:leader="none"/>
          <w:tab w:val="left" w:pos="257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康复训练安全保障措施（7分）</w:t>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提供安全训练过程中的</w:t>
      </w:r>
      <w:r>
        <w:rPr>
          <w:rFonts w:hint="eastAsia" w:ascii="宋体" w:hAnsi="宋体" w:cs="宋体"/>
          <w:color w:val="000000" w:themeColor="text1"/>
          <w:sz w:val="24"/>
          <w:szCs w:val="24"/>
          <w:highlight w:val="none"/>
        </w:rPr>
        <w:t xml:space="preserve">安全风险评估</w:t>
      </w:r>
      <w:r>
        <w:rPr>
          <w:rFonts w:hint="eastAsia" w:ascii="宋体" w:hAnsi="宋体" w:cs="宋体"/>
          <w:color w:val="000000" w:themeColor="text1"/>
          <w:sz w:val="24"/>
          <w:szCs w:val="24"/>
          <w:highlight w:val="none"/>
        </w:rPr>
        <w:t xml:space="preserve">计划、控制措施、</w:t>
      </w:r>
      <w:r>
        <w:rPr>
          <w:rFonts w:hint="eastAsia" w:ascii="宋体" w:hAnsi="宋体" w:cs="宋体"/>
          <w:color w:val="000000" w:themeColor="text1"/>
          <w:sz w:val="24"/>
          <w:szCs w:val="24"/>
          <w:highlight w:val="none"/>
        </w:rPr>
        <w:t xml:space="preserve">应急响应计划</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环境与设备安全</w:t>
      </w:r>
      <w:r>
        <w:rPr>
          <w:rFonts w:hint="eastAsia" w:ascii="宋体" w:hAnsi="宋体" w:cs="宋体"/>
          <w:color w:val="000000" w:themeColor="text1"/>
          <w:sz w:val="24"/>
          <w:szCs w:val="24"/>
          <w:highlight w:val="none"/>
        </w:rPr>
        <w:t xml:space="preserve">分析、不同程度服务对象的</w:t>
      </w:r>
      <w:r>
        <w:rPr>
          <w:rFonts w:hint="eastAsia" w:ascii="宋体" w:hAnsi="宋体" w:cs="宋体"/>
          <w:color w:val="000000" w:themeColor="text1"/>
          <w:sz w:val="24"/>
          <w:szCs w:val="24"/>
          <w:highlight w:val="none"/>
        </w:rPr>
        <w:t xml:space="preserve">个性化安全计划</w:t>
      </w:r>
      <w:r>
        <w:rPr>
          <w:rFonts w:hint="eastAsia" w:ascii="宋体" w:hAnsi="宋体" w:cs="宋体"/>
          <w:color w:val="000000" w:themeColor="text1"/>
          <w:sz w:val="24"/>
          <w:szCs w:val="24"/>
          <w:highlight w:val="none"/>
        </w:rPr>
        <w:t xml:space="preserve">、定期效果总结和反馈机制等安全保障措施。</w:t>
      </w:r>
      <w:r>
        <w:rPr>
          <w:rFonts w:hint="eastAsia" w:ascii="宋体" w:hAnsi="宋体" w:cs="宋体"/>
          <w:color w:val="000000" w:themeColor="text1"/>
          <w:sz w:val="24"/>
          <w:szCs w:val="24"/>
          <w:highlight w:val="none"/>
        </w:rPr>
        <w:t xml:space="preserve">保障方案内容详尽完整，保障能力强的得7分；保障方案内容比较完整，保障能力基本满足要求的得4分；保障方案内容一般，保障能力差的得1分；未提供</w:t>
      </w:r>
      <w:r>
        <w:rPr>
          <w:rFonts w:hint="eastAsia" w:ascii="宋体" w:hAnsi="宋体" w:cs="宋体"/>
          <w:color w:val="000000" w:themeColor="text1"/>
          <w:sz w:val="24"/>
          <w:szCs w:val="24"/>
          <w:highlight w:val="none"/>
        </w:rPr>
        <w:t xml:space="preserve">的</w:t>
      </w:r>
      <w:r>
        <w:rPr>
          <w:rFonts w:hint="eastAsia" w:ascii="宋体" w:hAnsi="宋体" w:cs="宋体"/>
          <w:color w:val="000000" w:themeColor="text1"/>
          <w:sz w:val="24"/>
          <w:szCs w:val="24"/>
          <w:highlight w:val="none"/>
        </w:rPr>
        <w:t xml:space="preserve">不得分。</w:t>
      </w:r>
      <w:r>
        <w:rPr>
          <w:rFonts w:hint="eastAsia" w:ascii="宋体" w:hAnsi="宋体" w:cs="宋体"/>
          <w:color w:val="000000" w:themeColor="text1"/>
          <w:sz w:val="24"/>
          <w:szCs w:val="24"/>
          <w:highlight w:val="none"/>
        </w:rPr>
        <w:t xml:space="preserve"> </w:t>
      </w:r>
      <w:r>
        <w:rPr>
          <w:color w:val="000000" w:themeColor="text1"/>
          <w:highlight w:val="none"/>
        </w:rPr>
      </w:r>
    </w:p>
    <w:p>
      <w:pPr>
        <w:numPr>
          <w:ilvl w:val="0"/>
          <w:numId w:val="21"/>
        </w:numPr>
        <w:ind w:left="0" w:firstLine="480"/>
        <w:spacing w:line="360" w:lineRule="auto"/>
        <w:tabs>
          <w:tab w:val="left" w:pos="284" w:leader="none"/>
          <w:tab w:val="left" w:pos="1134" w:leader="none"/>
          <w:tab w:val="left" w:pos="257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档案管理（</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建立儿童康复训练与评估档案（含文字、照片、视频）、整理授课教案等业务档案</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档案数据准确，资料保存完整，并定期进行分析总结得</w:t>
      </w: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分，档案数据基本准确，资料保存较完整得</w:t>
      </w: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分，档案数据基本准确，资料保存方案欠佳得1分。未提供的不得分。</w:t>
      </w:r>
      <w:r>
        <w:rPr>
          <w:rFonts w:hint="eastAsia" w:ascii="宋体" w:hAnsi="宋体" w:cs="宋体"/>
          <w:color w:val="000000" w:themeColor="text1"/>
          <w:sz w:val="24"/>
          <w:szCs w:val="24"/>
          <w:highlight w:val="none"/>
        </w:rPr>
        <w:t xml:space="preserve"> </w:t>
      </w:r>
      <w:r>
        <w:rPr>
          <w:color w:val="000000" w:themeColor="text1"/>
          <w:highlight w:val="none"/>
        </w:rPr>
      </w:r>
    </w:p>
    <w:p>
      <w:pPr>
        <w:ind w:firstLine="200"/>
        <w:spacing w:line="360" w:lineRule="auto"/>
        <w:tabs>
          <w:tab w:val="left" w:pos="1134" w:leader="none"/>
        </w:tabs>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r>
      <w:r>
        <w:rPr>
          <w:color w:val="000000" w:themeColor="text1"/>
          <w:highlight w:val="none"/>
        </w:rPr>
      </w:r>
    </w:p>
    <w:p>
      <w:pPr>
        <w:numPr>
          <w:ilvl w:val="0"/>
          <w:numId w:val="19"/>
        </w:numPr>
        <w:ind w:firstLine="482"/>
        <w:spacing w:line="360" w:lineRule="auto"/>
        <w:tabs>
          <w:tab w:val="left" w:pos="1134" w:leader="none"/>
        </w:tabs>
        <w:rPr>
          <w:rFonts w:hint="eastAsia" w:ascii="宋体" w:hAnsi="宋体" w:cs="宋体"/>
          <w:b/>
          <w:bCs/>
          <w:color w:val="000000" w:themeColor="text1"/>
          <w:sz w:val="24"/>
          <w:szCs w:val="24"/>
          <w:highlight w:val="none"/>
        </w:rPr>
        <w:outlineLvl w:val="0"/>
      </w:pPr>
      <w:r>
        <w:rPr>
          <w:rFonts w:hint="eastAsia" w:ascii="宋体" w:hAnsi="宋体" w:cs="宋体"/>
          <w:b/>
          <w:bCs/>
          <w:color w:val="000000" w:themeColor="text1"/>
          <w:sz w:val="24"/>
          <w:szCs w:val="24"/>
          <w:highlight w:val="none"/>
        </w:rPr>
        <w:t xml:space="preserve">投标人</w:t>
      </w:r>
      <w:r>
        <w:rPr>
          <w:rFonts w:hint="eastAsia" w:ascii="宋体" w:hAnsi="宋体" w:cs="宋体"/>
          <w:b/>
          <w:bCs/>
          <w:color w:val="000000" w:themeColor="text1"/>
          <w:sz w:val="24"/>
          <w:szCs w:val="24"/>
          <w:highlight w:val="none"/>
        </w:rPr>
        <w:t xml:space="preserve">服务团队配置</w:t>
      </w:r>
      <w:r>
        <w:rPr>
          <w:rFonts w:hint="eastAsia" w:ascii="宋体" w:hAnsi="宋体" w:cs="宋体"/>
          <w:b/>
          <w:bCs/>
          <w:color w:val="000000" w:themeColor="text1"/>
          <w:sz w:val="24"/>
          <w:szCs w:val="24"/>
          <w:highlight w:val="none"/>
        </w:rPr>
        <w:t xml:space="preserve">情况（</w:t>
      </w:r>
      <w:r>
        <w:rPr>
          <w:rFonts w:ascii="宋体" w:hAnsi="宋体" w:cs="宋体"/>
          <w:b/>
          <w:bCs/>
          <w:color w:val="000000" w:themeColor="text1"/>
          <w:sz w:val="24"/>
          <w:szCs w:val="24"/>
          <w:highlight w:val="none"/>
        </w:rPr>
        <w:t xml:space="preserve">20</w:t>
      </w:r>
      <w:r>
        <w:rPr>
          <w:rFonts w:hint="eastAsia" w:ascii="宋体" w:hAnsi="宋体" w:cs="宋体"/>
          <w:b/>
          <w:bCs/>
          <w:color w:val="000000" w:themeColor="text1"/>
          <w:sz w:val="24"/>
          <w:szCs w:val="24"/>
          <w:highlight w:val="none"/>
        </w:rPr>
        <w:t xml:space="preserve">分）</w:t>
      </w:r>
      <w:r>
        <w:rPr>
          <w:color w:val="000000" w:themeColor="text1"/>
          <w:highlight w:val="none"/>
        </w:rPr>
      </w:r>
    </w:p>
    <w:p>
      <w:pPr>
        <w:numPr>
          <w:ilvl w:val="0"/>
          <w:numId w:val="22"/>
        </w:numPr>
        <w:ind w:left="0" w:firstLine="480"/>
        <w:jc w:val="left"/>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服务团队专业能力情况（</w:t>
      </w:r>
      <w:r>
        <w:rPr>
          <w:rFonts w:ascii="宋体" w:hAnsi="宋体" w:cs="宋体"/>
          <w:color w:val="000000" w:themeColor="text1"/>
          <w:sz w:val="24"/>
          <w:szCs w:val="24"/>
          <w:highlight w:val="none"/>
        </w:rPr>
        <w:t xml:space="preserve">14</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jc w:val="left"/>
        <w:spacing w:line="360" w:lineRule="auto"/>
        <w:tabs>
          <w:tab w:val="left" w:pos="420"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服务团队成员具有大专及以上学历，且所学专业为</w:t>
      </w:r>
      <w:r>
        <w:rPr>
          <w:rFonts w:hint="eastAsia" w:ascii="宋体" w:hAnsi="宋体" w:cs="宋体"/>
          <w:color w:val="000000" w:themeColor="text1"/>
          <w:sz w:val="24"/>
          <w:szCs w:val="24"/>
          <w:highlight w:val="none"/>
        </w:rPr>
        <w:t xml:space="preserve">康复治疗专业或青少年康复专业</w:t>
      </w:r>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rPr>
        <w:t xml:space="preserve">心理学专业或特殊教育专业或学前教育儿童专业</w:t>
      </w:r>
      <w:r>
        <w:rPr>
          <w:rFonts w:hint="eastAsia" w:ascii="宋体" w:hAnsi="宋体" w:cs="宋体"/>
          <w:color w:val="000000" w:themeColor="text1"/>
          <w:sz w:val="24"/>
          <w:szCs w:val="24"/>
          <w:highlight w:val="none"/>
        </w:rPr>
        <w:t xml:space="preserve">的，每有1人得</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本项</w:t>
      </w:r>
      <w:r>
        <w:rPr>
          <w:rFonts w:hint="eastAsia" w:ascii="宋体" w:hAnsi="宋体" w:cs="宋体"/>
          <w:color w:val="000000" w:themeColor="text1"/>
          <w:sz w:val="24"/>
          <w:szCs w:val="24"/>
          <w:highlight w:val="none"/>
        </w:rPr>
        <w:t xml:space="preserve">最高</w:t>
      </w:r>
      <w:r>
        <w:rPr>
          <w:rFonts w:ascii="宋体" w:hAnsi="宋体" w:cs="宋体"/>
          <w:color w:val="000000" w:themeColor="text1"/>
          <w:sz w:val="24"/>
          <w:szCs w:val="24"/>
          <w:highlight w:val="none"/>
        </w:rPr>
        <w:t xml:space="preserve">14</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 </w:t>
      </w:r>
      <w:r>
        <w:rPr>
          <w:color w:val="000000" w:themeColor="text1"/>
          <w:highlight w:val="none"/>
        </w:rPr>
      </w:r>
    </w:p>
    <w:p>
      <w:pPr>
        <w:numPr>
          <w:ilvl w:val="0"/>
          <w:numId w:val="22"/>
        </w:numPr>
        <w:ind w:left="0" w:firstLine="480"/>
        <w:jc w:val="left"/>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专业技能配置（6分）</w:t>
      </w:r>
      <w:r>
        <w:rPr>
          <w:color w:val="000000" w:themeColor="text1"/>
          <w:highlight w:val="none"/>
        </w:rPr>
      </w:r>
    </w:p>
    <w:p>
      <w:pPr>
        <w:ind w:firstLine="480"/>
        <w:jc w:val="left"/>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服务团队</w:t>
      </w:r>
      <w:r>
        <w:rPr>
          <w:rFonts w:hint="eastAsia" w:ascii="宋体" w:hAnsi="宋体" w:cs="宋体"/>
          <w:color w:val="000000" w:themeColor="text1"/>
          <w:sz w:val="24"/>
          <w:szCs w:val="24"/>
          <w:highlight w:val="none"/>
        </w:rPr>
        <w:t xml:space="preserve">成员持有康复治疗类专业技能证书的，每有1人得</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分，最高</w:t>
      </w:r>
      <w:r>
        <w:rPr>
          <w:rFonts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jc w:val="left"/>
        <w:spacing w:line="360" w:lineRule="auto"/>
        <w:tabs>
          <w:tab w:val="left" w:pos="1134" w:leader="none"/>
        </w:tabs>
        <w:rPr>
          <w:rFonts w:hint="eastAsia" w:ascii="宋体" w:hAnsi="宋体" w:cs="宋体"/>
          <w:color w:val="000000" w:themeColor="text1"/>
          <w:sz w:val="24"/>
          <w:szCs w:val="24"/>
          <w:highlight w:val="none"/>
        </w:rPr>
      </w:pPr>
      <w:r>
        <w:rPr>
          <w:color w:val="000000" w:themeColor="text1"/>
          <w:highlight w:val="none"/>
        </w:rPr>
      </w:r>
      <w:bookmarkStart w:id="7" w:name="OLE_LINK4"/>
      <w:r>
        <w:rPr>
          <w:rFonts w:hint="eastAsia" w:ascii="宋体" w:hAnsi="宋体" w:cs="宋体"/>
          <w:color w:val="000000" w:themeColor="text1"/>
          <w:sz w:val="24"/>
          <w:szCs w:val="24"/>
          <w:highlight w:val="none"/>
        </w:rPr>
        <w:t xml:space="preserve">注：所涉及</w:t>
      </w:r>
      <w:r>
        <w:rPr>
          <w:rFonts w:hint="eastAsia" w:ascii="宋体" w:hAnsi="宋体" w:cs="宋体"/>
          <w:color w:val="000000" w:themeColor="text1"/>
          <w:sz w:val="24"/>
          <w:szCs w:val="24"/>
          <w:highlight w:val="none"/>
        </w:rPr>
        <w:t xml:space="preserve">人员需</w:t>
      </w:r>
      <w:r>
        <w:rPr>
          <w:rFonts w:hint="eastAsia" w:ascii="宋体" w:hAnsi="宋体" w:cs="宋体"/>
          <w:color w:val="000000" w:themeColor="text1"/>
          <w:sz w:val="24"/>
          <w:szCs w:val="24"/>
          <w:highlight w:val="none"/>
        </w:rPr>
        <w:t xml:space="preserve">需提供有效证书、响应单位为其缴纳的近三个月内社保缴纳证明等证明材料，否则不得分。</w:t>
      </w:r>
      <w:bookmarkEnd w:id="7"/>
      <w:r>
        <w:rPr>
          <w:color w:val="000000" w:themeColor="text1"/>
          <w:highlight w:val="none"/>
        </w:rPr>
      </w:r>
      <w:r>
        <w:rPr>
          <w:color w:val="000000" w:themeColor="text1"/>
          <w:highlight w:val="none"/>
        </w:rPr>
      </w:r>
    </w:p>
    <w:p>
      <w:pPr>
        <w:ind w:firstLine="200"/>
        <w:spacing w:line="360" w:lineRule="auto"/>
        <w:tabs>
          <w:tab w:val="left" w:pos="1134" w:leader="none"/>
        </w:tabs>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r>
      <w:r>
        <w:rPr>
          <w:color w:val="000000" w:themeColor="text1"/>
          <w:highlight w:val="none"/>
        </w:rPr>
      </w:r>
    </w:p>
    <w:p>
      <w:pPr>
        <w:numPr>
          <w:ilvl w:val="0"/>
          <w:numId w:val="19"/>
        </w:numPr>
        <w:ind w:firstLine="482"/>
        <w:spacing w:line="360" w:lineRule="auto"/>
        <w:tabs>
          <w:tab w:val="left" w:pos="1134" w:leader="none"/>
        </w:tabs>
        <w:rPr>
          <w:rFonts w:hint="eastAsia" w:ascii="宋体" w:hAnsi="宋体" w:cs="宋体"/>
          <w:b/>
          <w:color w:val="000000" w:themeColor="text1"/>
          <w:sz w:val="24"/>
          <w:szCs w:val="24"/>
          <w:highlight w:val="none"/>
        </w:rPr>
        <w:outlineLvl w:val="0"/>
      </w:pPr>
      <w:r>
        <w:rPr>
          <w:rFonts w:hint="eastAsia" w:ascii="宋体" w:hAnsi="宋体" w:cs="宋体"/>
          <w:b/>
          <w:bCs/>
          <w:color w:val="000000" w:themeColor="text1"/>
          <w:sz w:val="24"/>
          <w:szCs w:val="24"/>
          <w:highlight w:val="none"/>
        </w:rPr>
        <w:t xml:space="preserve">投标人履约能力（</w:t>
      </w:r>
      <w:r>
        <w:rPr>
          <w:rFonts w:ascii="宋体" w:hAnsi="宋体" w:cs="宋体"/>
          <w:b/>
          <w:bCs/>
          <w:color w:val="000000" w:themeColor="text1"/>
          <w:sz w:val="24"/>
          <w:szCs w:val="24"/>
          <w:highlight w:val="none"/>
        </w:rPr>
        <w:t xml:space="preserve">18</w:t>
      </w:r>
      <w:r>
        <w:rPr>
          <w:rFonts w:hint="eastAsia" w:ascii="宋体" w:hAnsi="宋体" w:cs="宋体"/>
          <w:b/>
          <w:bCs/>
          <w:color w:val="000000" w:themeColor="text1"/>
          <w:sz w:val="24"/>
          <w:szCs w:val="24"/>
          <w:highlight w:val="none"/>
        </w:rPr>
        <w:t xml:space="preserve">分）</w:t>
      </w:r>
      <w:r>
        <w:rPr>
          <w:color w:val="000000" w:themeColor="text1"/>
          <w:highlight w:val="none"/>
        </w:rPr>
      </w:r>
    </w:p>
    <w:p>
      <w:pPr>
        <w:numPr>
          <w:ilvl w:val="0"/>
          <w:numId w:val="23"/>
        </w:numPr>
        <w:ind w:left="0" w:firstLine="480"/>
        <w:jc w:val="left"/>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听力</w:t>
      </w:r>
      <w:r>
        <w:rPr>
          <w:rFonts w:hint="eastAsia" w:ascii="宋体" w:hAnsi="宋体" w:cs="宋体"/>
          <w:bCs/>
          <w:color w:val="000000" w:themeColor="text1"/>
          <w:sz w:val="24"/>
          <w:szCs w:val="24"/>
          <w:highlight w:val="none"/>
        </w:rPr>
        <w:t xml:space="preserve">康复</w:t>
      </w:r>
      <w:r>
        <w:rPr>
          <w:rFonts w:hint="eastAsia" w:ascii="宋体" w:hAnsi="宋体" w:cs="宋体"/>
          <w:color w:val="000000" w:themeColor="text1"/>
          <w:sz w:val="24"/>
          <w:szCs w:val="24"/>
          <w:highlight w:val="none"/>
        </w:rPr>
        <w:t xml:space="preserve">评估设备</w:t>
      </w:r>
      <w:r>
        <w:rPr>
          <w:rFonts w:hint="eastAsia" w:ascii="宋体" w:hAnsi="宋体" w:cs="宋体"/>
          <w:bCs/>
          <w:color w:val="000000" w:themeColor="text1"/>
          <w:sz w:val="24"/>
          <w:szCs w:val="24"/>
          <w:highlight w:val="none"/>
        </w:rPr>
        <w:t xml:space="preserve">配置</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采购方如有设施设备配备不到位的情况的，投标人提供承诺配置的设备清单，</w:t>
      </w:r>
      <w:r>
        <w:rPr>
          <w:rFonts w:hint="eastAsia" w:ascii="宋体" w:hAnsi="宋体" w:cs="宋体"/>
          <w:color w:val="000000" w:themeColor="text1"/>
          <w:sz w:val="24"/>
          <w:szCs w:val="24"/>
          <w:highlight w:val="none"/>
        </w:rPr>
        <w:t xml:space="preserve">包括但不限于言语听觉反应评估工具、言语功能评估仪、人工耳蜗调试设备、耳模制作设备等，设备齐全完整得</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分，设备较完备得</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分，设备欠缺</w:t>
      </w:r>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rPr>
        <w:t xml:space="preserve">未提供的不得分。</w:t>
      </w:r>
      <w:r>
        <w:rPr>
          <w:color w:val="000000" w:themeColor="text1"/>
          <w:highlight w:val="none"/>
        </w:rPr>
      </w:r>
    </w:p>
    <w:p>
      <w:pPr>
        <w:numPr>
          <w:ilvl w:val="0"/>
          <w:numId w:val="23"/>
        </w:numPr>
        <w:ind w:left="0" w:firstLine="480"/>
        <w:jc w:val="left"/>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肢体康复</w:t>
      </w:r>
      <w:r>
        <w:rPr>
          <w:rFonts w:hint="eastAsia" w:ascii="宋体" w:hAnsi="宋体" w:cs="宋体"/>
          <w:bCs/>
          <w:color w:val="000000" w:themeColor="text1"/>
          <w:sz w:val="24"/>
          <w:szCs w:val="24"/>
          <w:highlight w:val="none"/>
        </w:rPr>
        <w:t xml:space="preserve">评估</w:t>
      </w:r>
      <w:r>
        <w:rPr>
          <w:rFonts w:hint="eastAsia" w:ascii="宋体" w:hAnsi="宋体" w:cs="宋体"/>
          <w:color w:val="000000" w:themeColor="text1"/>
          <w:sz w:val="24"/>
          <w:szCs w:val="24"/>
          <w:highlight w:val="none"/>
        </w:rPr>
        <w:t xml:space="preserve">工具</w:t>
      </w:r>
      <w:r>
        <w:rPr>
          <w:rFonts w:hint="eastAsia" w:ascii="宋体" w:hAnsi="宋体" w:cs="宋体"/>
          <w:bCs/>
          <w:color w:val="000000" w:themeColor="text1"/>
          <w:sz w:val="24"/>
          <w:szCs w:val="24"/>
          <w:highlight w:val="none"/>
        </w:rPr>
        <w:t xml:space="preserve">配置</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采购方如有设施设备配备不到位的情况的，投标人提供承诺配置的设备清单，</w:t>
      </w:r>
      <w:r>
        <w:rPr>
          <w:rFonts w:hint="eastAsia" w:ascii="宋体" w:hAnsi="宋体" w:cs="宋体"/>
          <w:color w:val="000000" w:themeColor="text1"/>
          <w:sz w:val="24"/>
          <w:szCs w:val="24"/>
          <w:highlight w:val="none"/>
        </w:rPr>
        <w:t xml:space="preserve">包括但不限于常规功能测试工具、全套粗大运动评估工具、全套精细运动评估工具、全套智能评估工具、全套自理工具等，设备齐全完整得</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分，设备较完备得</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，设备欠缺</w:t>
      </w:r>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rPr>
        <w:t xml:space="preserve">未提供的不得分。</w:t>
      </w:r>
      <w:r>
        <w:rPr>
          <w:color w:val="000000" w:themeColor="text1"/>
          <w:highlight w:val="none"/>
        </w:rPr>
      </w:r>
    </w:p>
    <w:p>
      <w:pPr>
        <w:numPr>
          <w:ilvl w:val="0"/>
          <w:numId w:val="23"/>
        </w:numPr>
        <w:ind w:left="0" w:firstLine="480"/>
        <w:jc w:val="left"/>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智力康复评估工具及量表</w:t>
      </w:r>
      <w:r>
        <w:rPr>
          <w:rFonts w:hint="eastAsia" w:ascii="宋体" w:hAnsi="宋体" w:cs="宋体"/>
          <w:bCs/>
          <w:color w:val="000000" w:themeColor="text1"/>
          <w:sz w:val="24"/>
          <w:szCs w:val="24"/>
          <w:highlight w:val="none"/>
        </w:rPr>
        <w:t xml:space="preserve">配置</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采购方如有设施设备配备不到位的情况的，投标人提供承诺配置的设备清单，</w:t>
      </w:r>
      <w:r>
        <w:rPr>
          <w:rFonts w:hint="eastAsia" w:ascii="宋体" w:hAnsi="宋体" w:cs="宋体"/>
          <w:color w:val="000000" w:themeColor="text1"/>
          <w:sz w:val="24"/>
          <w:szCs w:val="24"/>
          <w:highlight w:val="none"/>
        </w:rPr>
        <w:t xml:space="preserve">包括但不限于相关评估工具、量表，设备齐全完整得</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分，设备较完备得</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设备欠缺</w:t>
      </w:r>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rPr>
        <w:t xml:space="preserve">未提供的不得分。</w:t>
      </w:r>
      <w:r>
        <w:rPr>
          <w:color w:val="000000" w:themeColor="text1"/>
          <w:highlight w:val="none"/>
        </w:rPr>
      </w:r>
    </w:p>
    <w:p>
      <w:pPr>
        <w:numPr>
          <w:ilvl w:val="0"/>
          <w:numId w:val="23"/>
        </w:numPr>
        <w:ind w:left="0" w:firstLine="480"/>
        <w:jc w:val="left"/>
        <w:spacing w:line="360" w:lineRule="auto"/>
        <w:tabs>
          <w:tab w:val="left" w:pos="1134" w:leader="none"/>
        </w:tabs>
        <w:rPr>
          <w:rFonts w:hint="eastAsia" w:ascii="宋体" w:hAnsi="宋体" w:cs="宋体"/>
          <w:color w:val="000000" w:themeColor="text1"/>
          <w:sz w:val="24"/>
          <w:szCs w:val="24"/>
          <w:highlight w:val="none"/>
        </w:rPr>
      </w:pPr>
      <w:r>
        <w:rPr>
          <w:color w:val="000000" w:themeColor="text1"/>
          <w:highlight w:val="none"/>
        </w:rPr>
      </w:r>
      <w:bookmarkStart w:id="8" w:name="OLE_LINK2"/>
      <w:r>
        <w:rPr>
          <w:rFonts w:hint="eastAsia" w:ascii="宋体" w:hAnsi="宋体" w:cs="宋体"/>
          <w:color w:val="000000" w:themeColor="text1"/>
          <w:sz w:val="24"/>
          <w:szCs w:val="24"/>
          <w:highlight w:val="none"/>
        </w:rPr>
        <w:t xml:space="preserve">孤独症康复评估工具及量表</w:t>
      </w:r>
      <w:r>
        <w:rPr>
          <w:rFonts w:hint="eastAsia" w:ascii="宋体" w:hAnsi="宋体" w:cs="宋体"/>
          <w:bCs/>
          <w:color w:val="000000" w:themeColor="text1"/>
          <w:sz w:val="24"/>
          <w:szCs w:val="24"/>
          <w:highlight w:val="none"/>
        </w:rPr>
        <w:t xml:space="preserve">配置</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w:t>
      </w:r>
      <w:bookmarkEnd w:id="8"/>
      <w:r>
        <w:rPr>
          <w:color w:val="000000" w:themeColor="text1"/>
          <w:highlight w:val="none"/>
        </w:rPr>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采购方如有设施设备配备不到位的情况的，投标人提供承诺配置的设备清单，</w:t>
      </w:r>
      <w:r>
        <w:rPr>
          <w:rFonts w:hint="eastAsia" w:ascii="宋体" w:hAnsi="宋体" w:cs="宋体"/>
          <w:color w:val="000000" w:themeColor="text1"/>
          <w:sz w:val="24"/>
          <w:szCs w:val="24"/>
          <w:highlight w:val="none"/>
        </w:rPr>
        <w:t xml:space="preserve">包括但不限于相关评估工具、量表，设备齐全完整得</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分，设备较完备得</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，设备欠缺</w:t>
      </w:r>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rPr>
        <w:t xml:space="preserve">未提供的不得分。</w:t>
      </w:r>
      <w:r>
        <w:rPr>
          <w:color w:val="000000" w:themeColor="text1"/>
          <w:highlight w:val="none"/>
        </w:rPr>
      </w:r>
    </w:p>
    <w:p>
      <w:pPr>
        <w:numPr>
          <w:ilvl w:val="0"/>
          <w:numId w:val="23"/>
        </w:numPr>
        <w:ind w:left="0" w:firstLine="480"/>
        <w:jc w:val="left"/>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康复训练设备</w:t>
      </w:r>
      <w:r>
        <w:rPr>
          <w:rFonts w:hint="eastAsia" w:ascii="宋体" w:hAnsi="宋体" w:cs="宋体"/>
          <w:bCs/>
          <w:color w:val="000000" w:themeColor="text1"/>
          <w:sz w:val="24"/>
          <w:szCs w:val="24"/>
          <w:highlight w:val="none"/>
        </w:rPr>
        <w:t xml:space="preserve">配置</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采购方如有设施设备配备不到位的情况的，投标人提供承诺配置的设备清单，</w:t>
      </w:r>
      <w:r>
        <w:rPr>
          <w:rFonts w:hint="eastAsia" w:ascii="宋体" w:hAnsi="宋体" w:cs="宋体"/>
          <w:color w:val="000000" w:themeColor="text1"/>
          <w:sz w:val="24"/>
          <w:szCs w:val="24"/>
          <w:highlight w:val="none"/>
        </w:rPr>
        <w:t xml:space="preserve">包括但不限于运动治疗设备、作业治疗设备、物理治疗设备、引导式教育设备、认知训练设备、中医传统治疗设备、音乐治疗设备、多感官训练设备等，设备齐全完整得</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分，设备较完备得</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，设备欠缺</w:t>
      </w:r>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rPr>
        <w:t xml:space="preserve">未提供的不得分。</w:t>
      </w:r>
      <w:r>
        <w:rPr>
          <w:color w:val="000000" w:themeColor="text1"/>
          <w:highlight w:val="none"/>
        </w:rPr>
      </w:r>
    </w:p>
    <w:p>
      <w:pPr>
        <w:numPr>
          <w:ilvl w:val="0"/>
          <w:numId w:val="23"/>
        </w:numPr>
        <w:ind w:left="0" w:firstLine="480"/>
        <w:jc w:val="left"/>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教学设备</w:t>
      </w:r>
      <w:r>
        <w:rPr>
          <w:rFonts w:hint="eastAsia" w:ascii="宋体" w:hAnsi="宋体" w:cs="宋体"/>
          <w:bCs/>
          <w:color w:val="000000" w:themeColor="text1"/>
          <w:sz w:val="24"/>
          <w:szCs w:val="24"/>
          <w:highlight w:val="none"/>
        </w:rPr>
        <w:t xml:space="preserve">配置</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w:t>
      </w:r>
      <w:r>
        <w:rPr>
          <w:color w:val="000000" w:themeColor="text1"/>
          <w:highlight w:val="none"/>
        </w:rPr>
      </w:r>
    </w:p>
    <w:p>
      <w:pPr>
        <w:ind w:firstLine="480"/>
        <w:spacing w:line="360" w:lineRule="auto"/>
        <w:tabs>
          <w:tab w:val="left" w:pos="567"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采购方如有设施设备配备不到位的情况的，投标人提供承诺配置的设备清单，</w:t>
      </w:r>
      <w:r>
        <w:rPr>
          <w:rFonts w:hint="eastAsia" w:ascii="宋体" w:hAnsi="宋体" w:cs="宋体"/>
          <w:color w:val="000000" w:themeColor="text1"/>
          <w:sz w:val="24"/>
          <w:szCs w:val="24"/>
          <w:highlight w:val="none"/>
        </w:rPr>
        <w:t xml:space="preserve">承诺提供各类多媒体教学设备得</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分、承诺提供各类残疾儿童玩教具</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分。提供承诺函及设备清单。</w:t>
      </w:r>
      <w:r>
        <w:rPr>
          <w:color w:val="000000" w:themeColor="text1"/>
          <w:highlight w:val="none"/>
        </w:rPr>
      </w:r>
    </w:p>
    <w:p>
      <w:pPr>
        <w:numPr>
          <w:ilvl w:val="0"/>
          <w:numId w:val="23"/>
        </w:numPr>
        <w:ind w:left="0" w:firstLine="480"/>
        <w:jc w:val="left"/>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业绩情况（6分）</w:t>
      </w:r>
      <w:r>
        <w:rPr>
          <w:color w:val="000000" w:themeColor="text1"/>
          <w:highlight w:val="none"/>
        </w:rPr>
      </w:r>
    </w:p>
    <w:p>
      <w:pPr>
        <w:ind w:firstLine="480"/>
        <w:jc w:val="left"/>
        <w:spacing w:line="360" w:lineRule="auto"/>
        <w:tabs>
          <w:tab w:val="left" w:pos="420" w:leader="none"/>
          <w:tab w:val="left" w:pos="1134"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202</w:t>
      </w:r>
      <w:r>
        <w:rPr>
          <w:rFonts w:ascii="宋体" w:hAnsi="宋体" w:cs="宋体"/>
          <w:bCs/>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以来（以合同签订时间为准）承担过类似工作项目业绩的每个得</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分，本项最高6分，提供项目合同复印件。</w:t>
      </w:r>
      <w:r>
        <w:rPr>
          <w:color w:val="000000" w:themeColor="text1"/>
          <w:highlight w:val="none"/>
        </w:rPr>
      </w:r>
    </w:p>
    <w:p>
      <w:pPr>
        <w:ind w:firstLine="480"/>
        <w:jc w:val="left"/>
        <w:spacing w:line="360" w:lineRule="auto"/>
        <w:tabs>
          <w:tab w:val="left" w:pos="420" w:leader="none"/>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widowControl/>
        <w:rPr>
          <w:rStyle w:val="848"/>
          <w:rFonts w:hint="eastAsia" w:ascii="宋体" w:hAnsi="宋体" w:cs="宋体"/>
          <w:color w:val="000000" w:themeColor="text1"/>
          <w:sz w:val="43"/>
          <w:szCs w:val="43"/>
          <w:highlight w:val="none"/>
        </w:rPr>
      </w:pPr>
      <w:r>
        <w:rPr>
          <w:rStyle w:val="848"/>
          <w:rFonts w:ascii="宋体" w:hAnsi="宋体" w:cs="宋体"/>
          <w:color w:val="000000" w:themeColor="text1"/>
          <w:sz w:val="43"/>
          <w:szCs w:val="43"/>
          <w:highlight w:val="none"/>
        </w:rPr>
        <w:br w:type="page" w:clear="all"/>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sz w:val="43"/>
          <w:szCs w:val="43"/>
          <w:highlight w:val="none"/>
        </w:rPr>
      </w:pPr>
      <w:r>
        <w:rPr>
          <w:rStyle w:val="848"/>
          <w:rFonts w:hint="eastAsia" w:ascii="宋体" w:hAnsi="宋体" w:cs="宋体"/>
          <w:color w:val="000000" w:themeColor="text1"/>
          <w:sz w:val="43"/>
          <w:szCs w:val="43"/>
          <w:highlight w:val="none"/>
        </w:rPr>
        <w:t xml:space="preserve">第四章  合同主要条款及格式</w:t>
      </w:r>
      <w:r>
        <w:rPr>
          <w:color w:val="000000" w:themeColor="text1"/>
          <w:highlight w:val="none"/>
        </w:rP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jc w:val="left"/>
        <w:spacing w:line="360" w:lineRule="auto"/>
        <w:shd w:val="clear" w:color="auto" w:fill="ffffff"/>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甲方：</w:t>
      </w:r>
      <w:r>
        <w:rPr>
          <w:rFonts w:hint="eastAsia" w:ascii="宋体" w:hAnsi="宋体" w:cs="宋体"/>
          <w:color w:val="000000" w:themeColor="text1"/>
          <w:sz w:val="24"/>
          <w:highlight w:val="none"/>
        </w:rPr>
        <w:t xml:space="preserve">苏州市社会福利总院</w:t>
      </w:r>
      <w:r>
        <w:rPr>
          <w:color w:val="000000" w:themeColor="text1"/>
          <w:highlight w:val="none"/>
        </w:rPr>
      </w:r>
    </w:p>
    <w:p>
      <w:pPr>
        <w:jc w:val="left"/>
        <w:spacing w:line="360" w:lineRule="auto"/>
        <w:shd w:val="clear" w:color="auto" w:fill="ffffff"/>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联系人：</w:t>
      </w:r>
      <w:r>
        <w:rPr>
          <w:rFonts w:ascii="宋体" w:hAnsi="宋体" w:cs="宋体"/>
          <w:color w:val="000000" w:themeColor="text1"/>
          <w:sz w:val="24"/>
          <w:highlight w:val="none"/>
        </w:rPr>
        <w:t xml:space="preserve"> </w:t>
      </w:r>
      <w:r>
        <w:rPr>
          <w:color w:val="000000" w:themeColor="text1"/>
          <w:highlight w:val="none"/>
        </w:rPr>
      </w:r>
    </w:p>
    <w:p>
      <w:pPr>
        <w:jc w:val="left"/>
        <w:spacing w:line="360" w:lineRule="auto"/>
        <w:shd w:val="clear" w:color="auto" w:fill="ffffff"/>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color w:val="000000" w:themeColor="text1"/>
          <w:highlight w:val="none"/>
        </w:rPr>
      </w:r>
    </w:p>
    <w:p>
      <w:pPr>
        <w:jc w:val="left"/>
        <w:spacing w:line="360" w:lineRule="auto"/>
        <w:shd w:val="clear" w:color="auto" w:fill="ffffff"/>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left"/>
        <w:spacing w:line="360" w:lineRule="auto"/>
        <w:shd w:val="clear" w:color="auto" w:fill="ffffff"/>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乙方：</w:t>
      </w:r>
      <w:r>
        <w:rPr>
          <w:rFonts w:ascii="宋体" w:hAnsi="宋体" w:cs="宋体"/>
          <w:color w:val="000000" w:themeColor="text1"/>
          <w:sz w:val="24"/>
          <w:highlight w:val="none"/>
        </w:rPr>
        <w:t xml:space="preserve"> </w:t>
      </w:r>
      <w:r>
        <w:rPr>
          <w:color w:val="000000" w:themeColor="text1"/>
          <w:highlight w:val="none"/>
        </w:rPr>
      </w:r>
    </w:p>
    <w:p>
      <w:pPr>
        <w:jc w:val="left"/>
        <w:spacing w:line="360" w:lineRule="auto"/>
        <w:shd w:val="clear" w:color="auto" w:fill="ffffff"/>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联系人：</w:t>
      </w:r>
      <w:r>
        <w:rPr>
          <w:rFonts w:ascii="宋体" w:hAnsi="宋体" w:cs="宋体"/>
          <w:color w:val="000000" w:themeColor="text1"/>
          <w:sz w:val="24"/>
          <w:highlight w:val="none"/>
        </w:rPr>
        <w:t xml:space="preserve"> </w:t>
      </w:r>
      <w:r>
        <w:rPr>
          <w:color w:val="000000" w:themeColor="text1"/>
          <w:highlight w:val="none"/>
        </w:rPr>
      </w:r>
    </w:p>
    <w:p>
      <w:pPr>
        <w:jc w:val="left"/>
        <w:spacing w:line="360" w:lineRule="auto"/>
        <w:shd w:val="clear" w:color="auto" w:fill="ffffff"/>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color w:val="000000" w:themeColor="text1"/>
          <w:highlight w:val="none"/>
        </w:rPr>
      </w:r>
    </w:p>
    <w:p>
      <w:pPr>
        <w:ind w:firstLine="470"/>
        <w:jc w:val="left"/>
        <w:spacing w:line="360" w:lineRule="auto"/>
        <w:widowControl/>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根据苏州市政府采购招标编号</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号竞争性磋商文件及乙方的磋商响应文件和成交通知书，甲乙双方就此次成交的</w:t>
      </w:r>
      <w:r>
        <w:rPr>
          <w:rFonts w:hint="eastAsia" w:ascii="宋体" w:hAnsi="宋体"/>
          <w:color w:val="000000" w:themeColor="text1"/>
          <w:sz w:val="24"/>
          <w:szCs w:val="24"/>
          <w:highlight w:val="none"/>
          <w:u w:val="single"/>
        </w:rPr>
        <w:t xml:space="preserve">2026年度残疾儿童及青少年康复教育训练项目</w:t>
      </w:r>
      <w:r>
        <w:rPr>
          <w:rFonts w:hint="eastAsia" w:ascii="宋体" w:hAnsi="宋体"/>
          <w:color w:val="000000" w:themeColor="text1"/>
          <w:sz w:val="24"/>
          <w:szCs w:val="24"/>
          <w:highlight w:val="none"/>
        </w:rPr>
        <w:t xml:space="preserve">事宜，根据《中华人民共和国民法典》、《中华人民共和国政府采购法》等相关规定，签订本合同书。</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合同价格</w:t>
      </w:r>
      <w:r>
        <w:rPr>
          <w:color w:val="000000" w:themeColor="text1"/>
          <w:highlight w:val="none"/>
        </w:rPr>
      </w:r>
    </w:p>
    <w:p>
      <w:pPr>
        <w:numPr>
          <w:ilvl w:val="1"/>
          <w:numId w:val="24"/>
        </w:numPr>
        <w:ind w:left="0" w:firstLine="480"/>
        <w:spacing w:line="360" w:lineRule="auto"/>
        <w:tabs>
          <w:tab w:val="left" w:pos="540" w:leader="none"/>
          <w:tab w:val="clear" w:pos="567" w:leader="none"/>
        </w:tabs>
        <w:rPr>
          <w:rFonts w:hint="eastAsia" w:ascii="宋体" w:hAnsi="宋体"/>
          <w:color w:val="000000" w:themeColor="text1"/>
          <w:sz w:val="24"/>
          <w:szCs w:val="24"/>
          <w:highlight w:val="none"/>
        </w:rPr>
      </w:pPr>
      <w:r>
        <w:rPr>
          <w:rFonts w:hint="eastAsia" w:ascii="宋体" w:hAnsi="宋体" w:cs="仿宋_GB2312"/>
          <w:color w:val="000000" w:themeColor="text1"/>
          <w:sz w:val="24"/>
          <w:szCs w:val="24"/>
          <w:highlight w:val="none"/>
        </w:rPr>
        <w:t xml:space="preserve">合同价格（大写）人民币</w:t>
      </w:r>
      <w:r>
        <w:rPr>
          <w:rFonts w:hint="eastAsia" w:ascii="宋体" w:hAnsi="宋体" w:cs="仿宋_GB2312"/>
          <w:color w:val="000000" w:themeColor="text1"/>
          <w:sz w:val="24"/>
          <w:szCs w:val="24"/>
          <w:highlight w:val="none"/>
          <w:u w:val="single"/>
        </w:rPr>
        <w:t xml:space="preserve">        </w:t>
      </w:r>
      <w:r>
        <w:rPr>
          <w:rFonts w:hint="eastAsia" w:ascii="宋体" w:hAnsi="宋体" w:cs="仿宋_GB2312"/>
          <w:color w:val="000000" w:themeColor="text1"/>
          <w:sz w:val="24"/>
          <w:szCs w:val="24"/>
          <w:highlight w:val="none"/>
        </w:rPr>
        <w:t xml:space="preserve">圆整（￥：</w:t>
      </w:r>
      <w:r>
        <w:rPr>
          <w:rFonts w:hint="eastAsia" w:ascii="宋体" w:hAnsi="宋体" w:cs="仿宋_GB2312"/>
          <w:color w:val="000000" w:themeColor="text1"/>
          <w:sz w:val="24"/>
          <w:szCs w:val="24"/>
          <w:highlight w:val="none"/>
          <w:u w:val="single"/>
        </w:rPr>
        <w:t xml:space="preserve">             </w:t>
      </w:r>
      <w:r>
        <w:rPr>
          <w:rFonts w:hint="eastAsia" w:ascii="宋体" w:hAnsi="宋体" w:cs="仿宋_GB2312"/>
          <w:color w:val="000000" w:themeColor="text1"/>
          <w:sz w:val="24"/>
          <w:szCs w:val="24"/>
          <w:highlight w:val="none"/>
        </w:rPr>
        <w:t xml:space="preserve">.00），</w:t>
      </w:r>
      <w:r>
        <w:rPr>
          <w:rFonts w:ascii="宋体" w:hAnsi="宋体"/>
          <w:color w:val="000000" w:themeColor="text1"/>
          <w:sz w:val="24"/>
          <w:szCs w:val="24"/>
          <w:highlight w:val="none"/>
          <w:lang w:val="zh-CN"/>
        </w:rPr>
        <w:t xml:space="preserve">应</w:t>
      </w:r>
      <w:r>
        <w:rPr>
          <w:rFonts w:ascii="宋体" w:hAnsi="宋体"/>
          <w:color w:val="000000" w:themeColor="text1"/>
          <w:sz w:val="24"/>
          <w:szCs w:val="24"/>
          <w:highlight w:val="none"/>
        </w:rPr>
        <w:t xml:space="preserve">包括完成该标的物全部内容的一切费用。</w:t>
      </w:r>
      <w:r>
        <w:rPr>
          <w:rFonts w:hint="eastAsia" w:ascii="宋体" w:hAnsi="宋体" w:cs="仿宋_GB2312"/>
          <w:color w:val="000000" w:themeColor="text1"/>
          <w:sz w:val="24"/>
          <w:szCs w:val="24"/>
          <w:highlight w:val="none"/>
        </w:rPr>
        <w:t xml:space="preserve">实际</w:t>
      </w:r>
      <w:r>
        <w:rPr>
          <w:rFonts w:hint="eastAsia"/>
          <w:bCs/>
          <w:color w:val="000000" w:themeColor="text1"/>
          <w:sz w:val="24"/>
          <w:szCs w:val="24"/>
          <w:highlight w:val="none"/>
        </w:rPr>
        <w:t xml:space="preserve">包括人工费、差旅食宿费及其它辅助费用、维护、管理、保险、利润、税金、政策性文件规定及合同包含的所有风险、责任等各项应有费用</w:t>
      </w:r>
      <w:r>
        <w:rPr>
          <w:rFonts w:hint="eastAsia"/>
          <w:color w:val="000000" w:themeColor="text1"/>
          <w:sz w:val="24"/>
          <w:szCs w:val="24"/>
          <w:highlight w:val="none"/>
        </w:rPr>
        <w:t xml:space="preserve">。</w:t>
      </w:r>
      <w:r>
        <w:rPr>
          <w:color w:val="000000" w:themeColor="text1"/>
          <w:highlight w:val="none"/>
        </w:rPr>
      </w:r>
    </w:p>
    <w:p>
      <w:pPr>
        <w:numPr>
          <w:ilvl w:val="1"/>
          <w:numId w:val="24"/>
        </w:numPr>
        <w:ind w:left="0" w:firstLine="480"/>
        <w:spacing w:line="360" w:lineRule="auto"/>
        <w:tabs>
          <w:tab w:val="left" w:pos="540" w:leader="none"/>
          <w:tab w:val="clear" w:pos="567"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根据现行税法对甲方征收的与本合同有关的一切税费均由甲方承担；根据现行税法对乙方征收的与本合同有关的一切税费均由乙方承担。</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服务范围</w:t>
      </w:r>
      <w:r>
        <w:rPr>
          <w:color w:val="000000" w:themeColor="text1"/>
          <w:highlight w:val="none"/>
        </w:rPr>
      </w:r>
    </w:p>
    <w:p>
      <w:pPr>
        <w:numPr>
          <w:ilvl w:val="1"/>
          <w:numId w:val="24"/>
        </w:numPr>
        <w:ind w:left="0" w:firstLine="480"/>
        <w:spacing w:line="360" w:lineRule="auto"/>
        <w:tabs>
          <w:tab w:val="left" w:pos="540" w:leader="none"/>
          <w:tab w:val="clear" w:pos="567"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甲方聘请乙方提供以下服务：</w:t>
      </w:r>
      <w:r>
        <w:rPr>
          <w:color w:val="000000" w:themeColor="text1"/>
          <w:highlight w:val="none"/>
        </w:rPr>
      </w:r>
    </w:p>
    <w:p>
      <w:pPr>
        <w:ind w:firstLine="480"/>
        <w:spacing w:line="360" w:lineRule="auto"/>
        <w:rPr>
          <w:color w:val="000000" w:themeColor="text1"/>
          <w:sz w:val="24"/>
          <w:szCs w:val="24"/>
          <w:highlight w:val="none"/>
        </w:rPr>
      </w:pPr>
      <w:r>
        <w:rPr>
          <w:rFonts w:hint="eastAsia" w:ascii="宋体" w:hAnsi="宋体" w:cs="仿宋_GB2312"/>
          <w:color w:val="000000" w:themeColor="text1"/>
          <w:sz w:val="24"/>
          <w:szCs w:val="24"/>
          <w:highlight w:val="none"/>
        </w:rPr>
        <w:t xml:space="preserve">（1）</w:t>
      </w:r>
      <w:r>
        <w:rPr>
          <w:rFonts w:hint="eastAsia" w:ascii="宋体" w:hAnsi="宋体"/>
          <w:color w:val="000000" w:themeColor="text1"/>
          <w:sz w:val="24"/>
          <w:szCs w:val="24"/>
          <w:highlight w:val="none"/>
        </w:rPr>
        <w:t xml:space="preserve">本合同项下的服务指</w:t>
      </w:r>
      <w:r>
        <w:rPr>
          <w:rFonts w:hint="eastAsia" w:ascii="宋体" w:hAnsi="宋体" w:cs="仿宋_GB2312"/>
          <w:color w:val="000000" w:themeColor="text1"/>
          <w:sz w:val="24"/>
          <w:szCs w:val="24"/>
          <w:highlight w:val="none"/>
        </w:rPr>
        <w:t xml:space="preserve">：</w:t>
      </w:r>
      <w:r>
        <w:rPr>
          <w:rFonts w:hint="eastAsia" w:ascii="宋体" w:hAnsi="宋体" w:cs="仿宋_GB2312"/>
          <w:color w:val="000000" w:themeColor="text1"/>
          <w:sz w:val="24"/>
          <w:szCs w:val="24"/>
          <w:highlight w:val="none"/>
          <w:u w:val="single"/>
        </w:rPr>
        <w:t xml:space="preserve">残疾儿童及青少年康复教育训练</w:t>
      </w:r>
      <w:r>
        <w:rPr>
          <w:rFonts w:hint="eastAsia" w:ascii="宋体" w:hAnsi="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（2）服务内容：</w:t>
      </w:r>
      <w:r>
        <w:rPr>
          <w:rFonts w:hint="eastAsia" w:ascii="宋体" w:hAnsi="宋体" w:cs="仿宋_GB2312"/>
          <w:color w:val="000000" w:themeColor="text1"/>
          <w:sz w:val="24"/>
          <w:szCs w:val="24"/>
          <w:highlight w:val="none"/>
          <w:u w:val="single"/>
        </w:rPr>
        <w:t xml:space="preserve">（详见磋商文件）</w:t>
      </w:r>
      <w:r>
        <w:rPr>
          <w:rFonts w:hint="eastAsia" w:ascii="宋体" w:hAnsi="宋体" w:cs="仿宋_GB2312"/>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（3）服务期限：</w:t>
      </w:r>
      <w:r>
        <w:rPr>
          <w:rFonts w:hint="eastAsia" w:ascii="宋体" w:hAnsi="宋体" w:cs="仿宋_GB2312"/>
          <w:color w:val="000000" w:themeColor="text1"/>
          <w:sz w:val="24"/>
          <w:szCs w:val="24"/>
          <w:highlight w:val="none"/>
          <w:u w:val="single"/>
        </w:rPr>
        <w:t xml:space="preserve">（详见磋商文件）</w:t>
      </w:r>
      <w:r>
        <w:rPr>
          <w:rFonts w:hint="eastAsia" w:ascii="宋体" w:hAnsi="宋体" w:cs="仿宋_GB2312"/>
          <w:color w:val="000000" w:themeColor="text1"/>
          <w:sz w:val="24"/>
          <w:szCs w:val="24"/>
          <w:highlight w:val="none"/>
        </w:rPr>
        <w:t xml:space="preserve">。</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合同价格支付</w:t>
      </w:r>
      <w:r>
        <w:rPr>
          <w:color w:val="000000" w:themeColor="text1"/>
          <w:highlight w:val="none"/>
        </w:rPr>
      </w:r>
    </w:p>
    <w:p>
      <w:pPr>
        <w:numPr>
          <w:ilvl w:val="1"/>
          <w:numId w:val="24"/>
        </w:numPr>
        <w:ind w:left="0" w:firstLine="480"/>
        <w:spacing w:line="360" w:lineRule="auto"/>
        <w:tabs>
          <w:tab w:val="left" w:pos="540" w:leader="none"/>
          <w:tab w:val="clear" w:pos="567" w:leader="none"/>
        </w:tabs>
        <w:rPr>
          <w:rFonts w:hint="eastAsia" w:ascii="宋体" w:hAnsi="宋体"/>
          <w:color w:val="000000" w:themeColor="text1"/>
          <w:sz w:val="24"/>
          <w:szCs w:val="24"/>
          <w:highlight w:val="none"/>
        </w:rPr>
      </w:pPr>
      <w:r>
        <w:rPr>
          <w:rFonts w:hint="eastAsia" w:cs="仿宋_GB2312"/>
          <w:color w:val="000000" w:themeColor="text1"/>
          <w:sz w:val="24"/>
          <w:szCs w:val="24"/>
          <w:highlight w:val="none"/>
        </w:rPr>
        <w:t xml:space="preserve">支付步骤</w:t>
      </w:r>
      <w:r>
        <w:rPr>
          <w:rFonts w:hint="eastAsia" w:ascii="宋体" w:hAnsi="宋体"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合同签订后，项目评估建档率</w:t>
      </w:r>
      <w:r>
        <w:rPr>
          <w:rFonts w:ascii="宋体" w:hAnsi="宋体"/>
          <w:color w:val="000000" w:themeColor="text1"/>
          <w:sz w:val="24"/>
          <w:szCs w:val="24"/>
          <w:highlight w:val="none"/>
        </w:rPr>
        <w:t xml:space="preserve">100%；季康复参与率达80%；康复服务满意率达90%，无重大责任事故发生。</w:t>
      </w:r>
      <w:r>
        <w:rPr>
          <w:rFonts w:hint="eastAsia" w:ascii="宋体" w:hAnsi="宋体"/>
          <w:color w:val="000000" w:themeColor="text1"/>
          <w:sz w:val="24"/>
          <w:szCs w:val="24"/>
          <w:highlight w:val="none"/>
        </w:rPr>
        <w:t xml:space="preserve">按季支付，</w:t>
      </w:r>
      <w:bookmarkStart w:id="9" w:name="OLE_LINK1"/>
      <w:r>
        <w:rPr>
          <w:rFonts w:hint="eastAsia" w:ascii="宋体" w:hAnsi="宋体"/>
          <w:color w:val="000000" w:themeColor="text1"/>
          <w:sz w:val="24"/>
          <w:szCs w:val="24"/>
          <w:highlight w:val="none"/>
        </w:rPr>
        <w:t xml:space="preserve">具体金额以实际考核后确定的金额结算</w:t>
      </w:r>
      <w:bookmarkEnd w:id="9"/>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最后一季度付款前，乙方需提供</w:t>
      </w:r>
      <w:r>
        <w:rPr>
          <w:rFonts w:hint="eastAsia" w:cs="仿宋_GB2312"/>
          <w:color w:val="000000" w:themeColor="text1"/>
          <w:sz w:val="24"/>
          <w:szCs w:val="24"/>
          <w:highlight w:val="none"/>
        </w:rPr>
        <w:t xml:space="preserve">由双方及采购代理机构签章的《采购合同履行验收报告》。</w:t>
      </w:r>
      <w:r>
        <w:rPr>
          <w:color w:val="000000" w:themeColor="text1"/>
          <w:highlight w:val="none"/>
        </w:rPr>
      </w:r>
    </w:p>
    <w:p>
      <w:pPr>
        <w:numPr>
          <w:ilvl w:val="1"/>
          <w:numId w:val="24"/>
        </w:numPr>
        <w:ind w:left="0" w:firstLine="480"/>
        <w:spacing w:line="360" w:lineRule="auto"/>
        <w:tabs>
          <w:tab w:val="left" w:pos="540" w:leader="none"/>
          <w:tab w:val="clear" w:pos="567" w:leader="none"/>
        </w:tabs>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甲方</w:t>
      </w:r>
      <w:r>
        <w:rPr>
          <w:rFonts w:ascii="宋体" w:hAnsi="宋体"/>
          <w:iCs/>
          <w:color w:val="000000" w:themeColor="text1"/>
          <w:sz w:val="24"/>
          <w:szCs w:val="24"/>
          <w:highlight w:val="none"/>
        </w:rPr>
        <w:t xml:space="preserve">支付此项费用外不再承担其它任何费用（包括个人），服务人员的薪金、福利、休假日补贴等由乙方付给，与甲方无关</w:t>
      </w:r>
      <w:r>
        <w:rPr>
          <w:rFonts w:hint="eastAsia" w:ascii="宋体" w:hAnsi="宋体"/>
          <w:iCs/>
          <w:color w:val="000000" w:themeColor="text1"/>
          <w:sz w:val="24"/>
          <w:szCs w:val="24"/>
          <w:highlight w:val="none"/>
        </w:rPr>
        <w:t xml:space="preserve">。</w:t>
      </w:r>
      <w:r>
        <w:rPr>
          <w:color w:val="000000" w:themeColor="text1"/>
          <w:highlight w:val="none"/>
        </w:rPr>
      </w:r>
    </w:p>
    <w:p>
      <w:pPr>
        <w:numPr>
          <w:ilvl w:val="1"/>
          <w:numId w:val="24"/>
        </w:numPr>
        <w:ind w:left="0" w:firstLine="480"/>
        <w:spacing w:line="360" w:lineRule="auto"/>
        <w:tabs>
          <w:tab w:val="left" w:pos="540" w:leader="none"/>
          <w:tab w:val="clear" w:pos="567"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乙方要求付款应提供以下资料：</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（1）合格的发票。</w:t>
      </w:r>
      <w:r>
        <w:rPr>
          <w:color w:val="000000" w:themeColor="text1"/>
          <w:highlight w:val="none"/>
        </w:rPr>
      </w:r>
    </w:p>
    <w:p>
      <w:pPr>
        <w:ind w:firstLine="480"/>
        <w:spacing w:line="360" w:lineRule="auto"/>
        <w:rPr>
          <w:rFonts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（2）</w:t>
      </w:r>
      <w:r>
        <w:rPr>
          <w:rFonts w:hint="eastAsia" w:cs="仿宋_GB2312"/>
          <w:color w:val="000000" w:themeColor="text1"/>
          <w:sz w:val="24"/>
          <w:szCs w:val="24"/>
          <w:highlight w:val="none"/>
        </w:rPr>
        <w:t xml:space="preserve">第三方季度评估报告。</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（3）其他（如有）。</w:t>
      </w:r>
      <w:r>
        <w:rPr>
          <w:color w:val="000000" w:themeColor="text1"/>
          <w:highlight w:val="none"/>
        </w:rPr>
      </w:r>
    </w:p>
    <w:p>
      <w:pPr>
        <w:numPr>
          <w:ilvl w:val="1"/>
          <w:numId w:val="24"/>
        </w:numPr>
        <w:ind w:left="0" w:firstLine="480"/>
        <w:spacing w:line="360" w:lineRule="auto"/>
        <w:tabs>
          <w:tab w:val="left" w:pos="540" w:leader="none"/>
          <w:tab w:val="clear" w:pos="567"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支付方式：转账。</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cs="仿宋_GB2312"/>
          <w:b/>
          <w:color w:val="000000" w:themeColor="text1"/>
          <w:sz w:val="24"/>
          <w:szCs w:val="24"/>
          <w:highlight w:val="none"/>
        </w:rPr>
        <w:t xml:space="preserve">服务检查与考核</w:t>
      </w:r>
      <w:r>
        <w:rPr>
          <w:color w:val="000000" w:themeColor="text1"/>
          <w:highlight w:val="none"/>
        </w:rPr>
      </w:r>
    </w:p>
    <w:p>
      <w:pPr>
        <w:numPr>
          <w:ilvl w:val="1"/>
          <w:numId w:val="24"/>
        </w:numPr>
        <w:ind w:left="0" w:firstLine="480"/>
        <w:spacing w:line="360" w:lineRule="auto"/>
        <w:rPr>
          <w:rFonts w:cs="仿宋_GB2312"/>
          <w:color w:val="000000" w:themeColor="text1"/>
          <w:sz w:val="24"/>
          <w:szCs w:val="24"/>
          <w:highlight w:val="none"/>
        </w:rPr>
      </w:pPr>
      <w:r>
        <w:rPr>
          <w:rFonts w:hint="eastAsia" w:cs="仿宋_GB2312"/>
          <w:color w:val="000000" w:themeColor="text1"/>
          <w:sz w:val="24"/>
          <w:szCs w:val="24"/>
          <w:highlight w:val="none"/>
        </w:rPr>
        <w:t xml:space="preserve">采购人提供管理与岗位规章制度、质量管理和服务技术标准并实施考核。对中标服务供应商及人员按百分制进行即时、每月及季度考核，兑现奖罚级决定是否继续服务。</w:t>
      </w:r>
      <w:r>
        <w:rPr>
          <w:color w:val="000000" w:themeColor="text1"/>
          <w:highlight w:val="none"/>
        </w:rPr>
      </w:r>
    </w:p>
    <w:p>
      <w:pPr>
        <w:numPr>
          <w:ilvl w:val="1"/>
          <w:numId w:val="24"/>
        </w:numPr>
        <w:ind w:left="0" w:firstLine="480"/>
        <w:spacing w:line="360" w:lineRule="auto"/>
        <w:rPr>
          <w:rFonts w:cs="仿宋_GB2312"/>
          <w:color w:val="000000" w:themeColor="text1"/>
          <w:sz w:val="24"/>
          <w:szCs w:val="24"/>
          <w:highlight w:val="none"/>
        </w:rPr>
      </w:pPr>
      <w:r>
        <w:rPr>
          <w:rFonts w:hint="eastAsia" w:ascii="宋体" w:hAnsi="宋体"/>
          <w:bCs/>
          <w:color w:val="000000" w:themeColor="text1"/>
          <w:sz w:val="24"/>
          <w:szCs w:val="24"/>
          <w:highlight w:val="none"/>
        </w:rPr>
        <w:t xml:space="preserve">总院对提供方的康教服务质量实行面向提供方（公司）及其员工个人两级考核，人员考核采用百分制量化考评办法，每月考核一次，低于90分，通知机构调整服务人员。机构考核采用合格和不合格评价，每季度考核一次，季度合格按实支付全额服务费用；季度考核不合格一次，按当季度全额服务费用80%支付，年度第二次不合格，按当季度全额服务费用50%支付，合同终止。</w:t>
      </w:r>
      <w:r>
        <w:rPr>
          <w:color w:val="000000" w:themeColor="text1"/>
          <w:highlight w:val="none"/>
        </w:rPr>
      </w:r>
    </w:p>
    <w:p>
      <w:pPr>
        <w:numPr>
          <w:ilvl w:val="1"/>
          <w:numId w:val="24"/>
        </w:numPr>
        <w:ind w:left="0" w:firstLine="480"/>
        <w:spacing w:line="360" w:lineRule="auto"/>
        <w:rPr>
          <w:rFonts w:cs="仿宋_GB2312"/>
          <w:color w:val="000000" w:themeColor="text1"/>
          <w:sz w:val="24"/>
          <w:szCs w:val="24"/>
          <w:highlight w:val="none"/>
        </w:rPr>
      </w:pPr>
      <w:r>
        <w:rPr>
          <w:rFonts w:hint="eastAsia" w:cs="仿宋_GB2312"/>
          <w:color w:val="000000" w:themeColor="text1"/>
          <w:sz w:val="24"/>
          <w:szCs w:val="24"/>
          <w:highlight w:val="none"/>
        </w:rPr>
        <w:t xml:space="preserve">中标服务供应商应制订具体可行的质量保证措施和相关的服务承诺。服务方所有的工作应按服务流程实施，自觉接受采购人或第三方（职能部门）的随时检查。如出现服务质量未达标情况，服务服务采购人有权要求其整改直至终止合同。</w:t>
      </w:r>
      <w:r>
        <w:rPr>
          <w:color w:val="000000" w:themeColor="text1"/>
          <w:highlight w:val="none"/>
        </w:rPr>
      </w:r>
    </w:p>
    <w:p>
      <w:pPr>
        <w:numPr>
          <w:ilvl w:val="0"/>
          <w:numId w:val="24"/>
        </w:numPr>
        <w:ind w:left="0" w:firstLine="480"/>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cs="仿宋_GB2312"/>
          <w:color w:val="000000" w:themeColor="text1"/>
          <w:sz w:val="24"/>
          <w:szCs w:val="24"/>
          <w:highlight w:val="none"/>
        </w:rPr>
        <w:t xml:space="preserve">采购人定期和不定期地对服务方管理服务进行检查和抽查，检查记录和整改期限将反馈给服务商，</w:t>
      </w:r>
      <w:r>
        <w:rPr>
          <w:rFonts w:hint="eastAsia"/>
          <w:color w:val="000000" w:themeColor="text1"/>
          <w:sz w:val="24"/>
          <w:szCs w:val="24"/>
          <w:highlight w:val="none"/>
        </w:rPr>
        <w:t xml:space="preserve">并每月对相应内容的检查结果按任务完成情况进行考核；不能胜任的人员，提前终止服务并提供合适人选替换。</w:t>
      </w:r>
      <w:r>
        <w:rPr>
          <w:color w:val="000000" w:themeColor="text1"/>
          <w:highlight w:val="none"/>
        </w:rPr>
      </w:r>
    </w:p>
    <w:p>
      <w:pPr>
        <w:numPr>
          <w:ilvl w:val="1"/>
          <w:numId w:val="24"/>
        </w:numPr>
        <w:ind w:left="0" w:firstLine="480"/>
        <w:spacing w:line="360" w:lineRule="auto"/>
        <w:rPr>
          <w:rFonts w:hint="eastAsia" w:ascii="宋体" w:hAnsi="宋体" w:cs="宋体"/>
          <w:color w:val="000000" w:themeColor="text1"/>
          <w:sz w:val="24"/>
          <w:szCs w:val="24"/>
          <w:highlight w:val="none"/>
        </w:rPr>
      </w:pPr>
      <w:r>
        <w:rPr>
          <w:rFonts w:hint="eastAsia" w:cs="仿宋_GB2312"/>
          <w:color w:val="000000" w:themeColor="text1"/>
          <w:sz w:val="24"/>
          <w:szCs w:val="24"/>
          <w:highlight w:val="none"/>
        </w:rPr>
        <w:t xml:space="preserve">采购</w:t>
      </w:r>
      <w:r>
        <w:rPr>
          <w:rFonts w:hint="eastAsia" w:ascii="宋体" w:hAnsi="宋体" w:cs="宋体"/>
          <w:color w:val="000000" w:themeColor="text1"/>
          <w:sz w:val="24"/>
          <w:szCs w:val="24"/>
          <w:highlight w:val="none"/>
        </w:rPr>
        <w:t xml:space="preserve">人对服务方平时和季度进行业务考核：</w:t>
      </w:r>
      <w:r>
        <w:rPr>
          <w:color w:val="000000" w:themeColor="text1"/>
          <w:highlight w:val="none"/>
        </w:rPr>
      </w:r>
    </w:p>
    <w:p>
      <w:pPr>
        <w:numPr>
          <w:ilvl w:val="1"/>
          <w:numId w:val="24"/>
        </w:num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评估建档率100%；季康复参与率达80%；康复服务满意率达90%，按季支付</w:t>
      </w:r>
      <w:r>
        <w:rPr>
          <w:rFonts w:hint="eastAsia" w:ascii="宋体" w:hAnsi="宋体" w:cs="宋体"/>
          <w:color w:val="000000" w:themeColor="text1"/>
          <w:sz w:val="24"/>
          <w:szCs w:val="24"/>
          <w:highlight w:val="none"/>
        </w:rPr>
        <w:t xml:space="preserve">，</w:t>
      </w:r>
      <w:r>
        <w:rPr>
          <w:rFonts w:hint="eastAsia" w:ascii="宋体" w:hAnsi="宋体"/>
          <w:color w:val="000000" w:themeColor="text1"/>
          <w:sz w:val="24"/>
          <w:szCs w:val="24"/>
          <w:highlight w:val="none"/>
        </w:rPr>
        <w:t xml:space="preserve">具体金额以实际考核后确定的金额结算；</w:t>
      </w:r>
      <w:r>
        <w:rPr>
          <w:rFonts w:hint="eastAsia" w:ascii="宋体" w:hAnsi="宋体" w:cs="宋体"/>
          <w:color w:val="000000" w:themeColor="text1"/>
          <w:sz w:val="24"/>
          <w:szCs w:val="24"/>
          <w:highlight w:val="none"/>
        </w:rPr>
        <w:t xml:space="preserve"> </w:t>
      </w:r>
      <w:r>
        <w:rPr>
          <w:color w:val="000000" w:themeColor="text1"/>
          <w:highlight w:val="none"/>
        </w:rPr>
      </w:r>
    </w:p>
    <w:p>
      <w:pPr>
        <w:numPr>
          <w:ilvl w:val="1"/>
          <w:numId w:val="24"/>
        </w:num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康教服务人员，不能胜任工作的，应提出充分理由，服务方需在1周内负责调换人员或调换岗位；康教服务人员遇有病事假应及时补人，员工罹患传染性疾病应立即离岗并重新补人。</w:t>
      </w:r>
      <w:r>
        <w:rPr>
          <w:color w:val="000000" w:themeColor="text1"/>
          <w:highlight w:val="none"/>
        </w:rPr>
      </w:r>
    </w:p>
    <w:p>
      <w:pPr>
        <w:numPr>
          <w:ilvl w:val="1"/>
          <w:numId w:val="24"/>
        </w:num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如因康教服务不当出现意外责任事故，由服务方承担责任作出经济赔偿（</w:t>
      </w:r>
      <w:r>
        <w:rPr>
          <w:rFonts w:hint="eastAsia" w:ascii="宋体" w:hAnsi="宋体" w:cs="宋体"/>
          <w:color w:val="000000" w:themeColor="text1"/>
          <w:sz w:val="24"/>
          <w:szCs w:val="24"/>
          <w:highlight w:val="none"/>
        </w:rPr>
        <w:t xml:space="preserve">甲方可直接在应付款中</w:t>
      </w:r>
      <w:r>
        <w:rPr>
          <w:rFonts w:hint="eastAsia" w:ascii="宋体" w:hAnsi="宋体" w:cs="宋体"/>
          <w:color w:val="000000" w:themeColor="text1"/>
          <w:sz w:val="24"/>
          <w:szCs w:val="24"/>
          <w:highlight w:val="none"/>
        </w:rPr>
        <w:t xml:space="preserve">扣款或提前终止合同）。</w:t>
      </w:r>
      <w:r>
        <w:rPr>
          <w:color w:val="000000" w:themeColor="text1"/>
          <w:highlight w:val="none"/>
        </w:rPr>
      </w:r>
    </w:p>
    <w:p>
      <w:pPr>
        <w:numPr>
          <w:ilvl w:val="1"/>
          <w:numId w:val="24"/>
        </w:num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乙方员工在合同期间所发生的福利费、工伤、生病住院、意外伤（亡）害等费用均由乙方承担。</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双方的权利与义务：</w:t>
      </w:r>
      <w:r>
        <w:rPr>
          <w:color w:val="000000" w:themeColor="text1"/>
          <w:highlight w:val="none"/>
        </w:rPr>
      </w:r>
    </w:p>
    <w:p>
      <w:pPr>
        <w:numPr>
          <w:ilvl w:val="1"/>
          <w:numId w:val="24"/>
        </w:num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乙方须按照招标书要求实施项目，履行承诺，保证质量。</w:t>
      </w:r>
      <w:r>
        <w:rPr>
          <w:color w:val="000000" w:themeColor="text1"/>
          <w:highlight w:val="none"/>
        </w:rPr>
      </w:r>
    </w:p>
    <w:p>
      <w:pPr>
        <w:numPr>
          <w:ilvl w:val="1"/>
          <w:numId w:val="24"/>
        </w:num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甲方就本合同约定方式拨付乙方项目经费，乙方须向甲方提供正规收款票据。</w:t>
      </w:r>
      <w:r>
        <w:rPr>
          <w:color w:val="000000" w:themeColor="text1"/>
          <w:highlight w:val="none"/>
        </w:rPr>
      </w:r>
    </w:p>
    <w:p>
      <w:pPr>
        <w:numPr>
          <w:ilvl w:val="1"/>
          <w:numId w:val="24"/>
        </w:num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乙方在项目实施周期内接受甲方委托的第三方监管和评估，并向第三方提交监管和评估所需的所有项目信息和资料。</w:t>
      </w:r>
      <w:r>
        <w:rPr>
          <w:color w:val="000000" w:themeColor="text1"/>
          <w:highlight w:val="none"/>
        </w:rPr>
      </w:r>
    </w:p>
    <w:p>
      <w:pPr>
        <w:numPr>
          <w:ilvl w:val="1"/>
          <w:numId w:val="24"/>
        </w:numPr>
        <w:ind w:left="0" w:firstLine="480"/>
        <w:spacing w:line="360" w:lineRule="auto"/>
        <w:rPr>
          <w:rFonts w:cs="仿宋_GB2312"/>
          <w:color w:val="000000" w:themeColor="text1"/>
          <w:sz w:val="24"/>
          <w:szCs w:val="24"/>
          <w:highlight w:val="none"/>
        </w:rPr>
      </w:pPr>
      <w:r>
        <w:rPr>
          <w:rFonts w:hint="eastAsia" w:ascii="宋体" w:hAnsi="宋体" w:cs="宋体"/>
          <w:color w:val="000000" w:themeColor="text1"/>
          <w:sz w:val="24"/>
          <w:szCs w:val="24"/>
          <w:highlight w:val="none"/>
        </w:rPr>
        <w:t xml:space="preserve">在项目实施过程中，如发现乙方提供虚假资料或信</w:t>
      </w:r>
      <w:r>
        <w:rPr>
          <w:rFonts w:hint="eastAsia" w:cs="仿宋_GB2312"/>
          <w:color w:val="000000" w:themeColor="text1"/>
          <w:sz w:val="24"/>
          <w:szCs w:val="24"/>
          <w:highlight w:val="none"/>
        </w:rPr>
        <w:t xml:space="preserve">息，甲方有权立即停止本项目并追回项目荣誉和奖励，同时在媒体通告，乙方三年内不得参加公益招投标或甲方主办的其他活动。</w:t>
      </w:r>
      <w:r>
        <w:rPr>
          <w:color w:val="000000" w:themeColor="text1"/>
          <w:highlight w:val="none"/>
        </w:rPr>
      </w:r>
    </w:p>
    <w:p>
      <w:pPr>
        <w:numPr>
          <w:ilvl w:val="1"/>
          <w:numId w:val="24"/>
        </w:numPr>
        <w:ind w:left="0" w:firstLine="480"/>
        <w:spacing w:line="360" w:lineRule="auto"/>
        <w:rPr>
          <w:rFonts w:cs="仿宋_GB2312"/>
          <w:color w:val="000000" w:themeColor="text1"/>
          <w:sz w:val="24"/>
          <w:szCs w:val="24"/>
          <w:highlight w:val="none"/>
        </w:rPr>
      </w:pPr>
      <w:r>
        <w:rPr>
          <w:rFonts w:hint="eastAsia" w:cs="仿宋_GB2312"/>
          <w:color w:val="000000" w:themeColor="text1"/>
          <w:sz w:val="24"/>
          <w:szCs w:val="24"/>
          <w:highlight w:val="none"/>
        </w:rPr>
        <w:t xml:space="preserve">乙方应主动接受并配合甲方及财政、审计等部门对本项目的检查、指导和监督。</w:t>
      </w:r>
      <w:r>
        <w:rPr>
          <w:color w:val="000000" w:themeColor="text1"/>
          <w:highlight w:val="none"/>
        </w:rPr>
      </w:r>
    </w:p>
    <w:p>
      <w:pPr>
        <w:numPr>
          <w:ilvl w:val="1"/>
          <w:numId w:val="24"/>
        </w:numPr>
        <w:ind w:left="0" w:firstLine="480"/>
        <w:spacing w:line="360" w:lineRule="auto"/>
        <w:rPr>
          <w:rFonts w:cs="仿宋_GB2312"/>
          <w:color w:val="000000" w:themeColor="text1"/>
          <w:sz w:val="24"/>
          <w:szCs w:val="24"/>
          <w:highlight w:val="none"/>
        </w:rPr>
      </w:pPr>
      <w:r>
        <w:rPr>
          <w:rFonts w:hint="eastAsia" w:cs="仿宋_GB2312"/>
          <w:color w:val="000000" w:themeColor="text1"/>
          <w:sz w:val="24"/>
          <w:szCs w:val="24"/>
          <w:highlight w:val="none"/>
        </w:rPr>
        <w:t xml:space="preserve">乙方实施本项目产生的报告、课件、手册等所有文字资料和影像资料，甲方可无限期无偿使用。</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违约责任</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甲方违约责任及违约金支付：</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（1）</w:t>
      </w:r>
      <w:r>
        <w:rPr>
          <w:rFonts w:hint="eastAsia" w:ascii="宋体" w:hAnsi="宋体"/>
          <w:color w:val="000000" w:themeColor="text1"/>
          <w:sz w:val="24"/>
          <w:szCs w:val="24"/>
          <w:highlight w:val="none"/>
        </w:rPr>
        <w:t xml:space="preserve">在</w:t>
      </w:r>
      <w:r>
        <w:rPr>
          <w:rFonts w:hint="eastAsia" w:ascii="宋体" w:hAnsi="宋体" w:cs="仿宋_GB2312"/>
          <w:color w:val="000000" w:themeColor="text1"/>
          <w:sz w:val="24"/>
          <w:szCs w:val="24"/>
          <w:highlight w:val="none"/>
        </w:rPr>
        <w:t xml:space="preserve">合同生效后，甲方无理由要求终止服务的，应向乙方偿付合同总价款的5%，作为违约金，违约金不足以补偿损失的，乙方有权要求甲方补足；</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（2）甲方</w:t>
      </w:r>
      <w:r>
        <w:rPr>
          <w:rFonts w:hint="eastAsia" w:ascii="宋体" w:hAnsi="宋体" w:cs="仿宋_GB2312"/>
          <w:color w:val="000000" w:themeColor="text1"/>
          <w:sz w:val="24"/>
          <w:szCs w:val="24"/>
          <w:highlight w:val="none"/>
        </w:rPr>
        <w:t xml:space="preserve">无正当理由</w:t>
      </w:r>
      <w:r>
        <w:rPr>
          <w:rFonts w:hint="eastAsia" w:ascii="宋体" w:hAnsi="宋体" w:cs="仿宋_GB2312"/>
          <w:color w:val="000000" w:themeColor="text1"/>
          <w:sz w:val="24"/>
          <w:szCs w:val="24"/>
          <w:highlight w:val="none"/>
        </w:rPr>
        <w:t xml:space="preserve">逾期付款的应按照逾期付款金额的每天万分之四支付逾期付款违约金；</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（3）甲方违反合同规定，拒绝接受乙方提供服务，应当承担乙方由此造成的损失。                                         </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乙方违约责任及违约金支付：</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w:t>
      </w:r>
      <w:r>
        <w:rPr>
          <w:rFonts w:ascii="宋体" w:hAnsi="宋体" w:cs="仿宋_GB2312"/>
          <w:color w:val="000000" w:themeColor="text1"/>
          <w:sz w:val="24"/>
          <w:szCs w:val="24"/>
          <w:highlight w:val="none"/>
        </w:rPr>
        <w:t xml:space="preserve">1）</w:t>
      </w:r>
      <w:r>
        <w:rPr>
          <w:rFonts w:hint="eastAsia" w:ascii="宋体" w:hAnsi="宋体" w:cs="仿宋_GB2312"/>
          <w:color w:val="000000" w:themeColor="text1"/>
          <w:sz w:val="24"/>
          <w:szCs w:val="24"/>
          <w:highlight w:val="none"/>
        </w:rPr>
        <w:t xml:space="preserve">乙方不能提供服务的，或服务不合格从而影响甲方按期正常使用的，应向甲方偿付合同总价款5%的违约金，违约金不足以补偿损失的甲方有权要求乙方补足。</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w:t>
      </w:r>
      <w:r>
        <w:rPr>
          <w:rFonts w:ascii="宋体" w:hAnsi="宋体" w:cs="仿宋_GB2312"/>
          <w:color w:val="000000" w:themeColor="text1"/>
          <w:sz w:val="24"/>
          <w:szCs w:val="24"/>
          <w:highlight w:val="none"/>
        </w:rPr>
        <w:t xml:space="preserve">2）</w:t>
      </w:r>
      <w:r>
        <w:rPr>
          <w:rFonts w:hint="eastAsia" w:ascii="宋体" w:hAnsi="宋体" w:cs="仿宋_GB2312"/>
          <w:color w:val="000000" w:themeColor="text1"/>
          <w:sz w:val="24"/>
          <w:szCs w:val="24"/>
          <w:highlight w:val="none"/>
        </w:rPr>
        <w:t xml:space="preserve">乙方逾期提供服务的，应与甲方和政府采购管理部门协商，甲方仍要求的，乙方应立即提供服务按照逾期服务的每天万分之四支付逾期违约金，同时承担甲方因此遭致的损失费用</w:t>
      </w:r>
      <w:r>
        <w:rPr>
          <w:rFonts w:hint="eastAsia" w:ascii="宋体" w:hAnsi="宋体" w:cs="仿宋_GB2312"/>
          <w:color w:val="000000" w:themeColor="text1"/>
          <w:sz w:val="24"/>
          <w:szCs w:val="24"/>
          <w:highlight w:val="none"/>
        </w:rPr>
        <w:t xml:space="preserve">，</w:t>
      </w:r>
      <w:r>
        <w:rPr>
          <w:rFonts w:ascii="宋体" w:hAnsi="宋体" w:cs="仿宋_GB2312"/>
          <w:color w:val="000000" w:themeColor="text1"/>
          <w:sz w:val="24"/>
          <w:szCs w:val="24"/>
          <w:highlight w:val="none"/>
        </w:rPr>
        <w:t xml:space="preserve">甲方可以凭与第三方达成的调解协议等直接在乙方应付款中扣除</w:t>
      </w:r>
      <w:r>
        <w:rPr>
          <w:rFonts w:hint="eastAsia" w:ascii="宋体" w:hAnsi="宋体" w:cs="仿宋_GB2312"/>
          <w:color w:val="000000" w:themeColor="text1"/>
          <w:sz w:val="24"/>
          <w:szCs w:val="24"/>
          <w:highlight w:val="none"/>
        </w:rPr>
        <w:t xml:space="preserve"> </w:t>
      </w:r>
      <w:r>
        <w:rPr>
          <w:rFonts w:hint="eastAsia" w:ascii="宋体" w:hAnsi="宋体" w:cs="仿宋_GB2312"/>
          <w:color w:val="000000" w:themeColor="text1"/>
          <w:sz w:val="24"/>
          <w:szCs w:val="24"/>
          <w:highlight w:val="none"/>
        </w:rPr>
        <w:t xml:space="preserve">。</w:t>
      </w:r>
      <w:r>
        <w:rPr>
          <w:rFonts w:hint="eastAsia" w:ascii="宋体" w:hAnsi="宋体" w:cs="仿宋_GB2312"/>
          <w:color w:val="000000" w:themeColor="text1"/>
          <w:sz w:val="24"/>
          <w:szCs w:val="24"/>
          <w:highlight w:val="none"/>
        </w:rPr>
        <w:t xml:space="preserve">                                    </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不可抗力</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因不可抗力不能履行合同的，根据不可抗力的影响，部分或者全部免除责任。但合同一方延迟履行后发生不可抗力的，不能免除责任。</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合同一方因不可抗力不能履行合同的，应当及时通知对方，以减轻可能给对方造成的损失，并应当在合理期限内提供证明。</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合同修改</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甲方和乙方都不得擅自变更本合同，但合同继续履行将损害国家和社会公共利益的除外。</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转让和分包</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政府采购合同的部分和全部都不得转让。</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合同的解除</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有下列情形之一，合同一方可解除合同：</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w:t>
      </w:r>
      <w:r>
        <w:rPr>
          <w:rFonts w:ascii="宋体" w:hAnsi="宋体" w:cs="仿宋_GB2312"/>
          <w:color w:val="000000" w:themeColor="text1"/>
          <w:sz w:val="24"/>
          <w:szCs w:val="24"/>
          <w:highlight w:val="none"/>
        </w:rPr>
        <w:t xml:space="preserve">1）</w:t>
      </w:r>
      <w:r>
        <w:rPr>
          <w:rFonts w:hint="eastAsia" w:ascii="宋体" w:hAnsi="宋体" w:cs="仿宋_GB2312"/>
          <w:color w:val="000000" w:themeColor="text1"/>
          <w:sz w:val="24"/>
          <w:szCs w:val="24"/>
          <w:highlight w:val="none"/>
        </w:rPr>
        <w:t xml:space="preserve">因不可抗力致使不能实现合同目的，未受不可抗力影响的一方有权解除合同；</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w:t>
      </w:r>
      <w:r>
        <w:rPr>
          <w:rFonts w:ascii="宋体" w:hAnsi="宋体" w:cs="仿宋_GB2312"/>
          <w:color w:val="000000" w:themeColor="text1"/>
          <w:sz w:val="24"/>
          <w:szCs w:val="24"/>
          <w:highlight w:val="none"/>
        </w:rPr>
        <w:t xml:space="preserve">2）</w:t>
      </w:r>
      <w:r>
        <w:rPr>
          <w:rFonts w:hint="eastAsia" w:ascii="宋体" w:hAnsi="宋体" w:cs="仿宋_GB2312"/>
          <w:color w:val="000000" w:themeColor="text1"/>
          <w:sz w:val="24"/>
          <w:szCs w:val="24"/>
          <w:highlight w:val="none"/>
        </w:rPr>
        <w:t xml:space="preserve">因合同一方违约导致合同不能履行，另一方有权解除合同。</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有权解除合同的一方，应当在违约事实或不可抗力发生之后三十天内书面通知对方以主张解除合同，合同在书面通知到达对方时解除。</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争议解决办法</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因本合同或与本合同有关的一切事项发生争议，由双方友好协商解决。协商不成的，</w:t>
      </w:r>
      <w:r>
        <w:rPr>
          <w:rFonts w:hint="eastAsia" w:ascii="宋体" w:hAnsi="宋体" w:cs="仿宋_GB2312"/>
          <w:color w:val="000000" w:themeColor="text1"/>
          <w:sz w:val="24"/>
          <w:szCs w:val="24"/>
          <w:highlight w:val="none"/>
        </w:rPr>
        <w:t xml:space="preserve">向甲方所在地的人民法院起诉。</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合同生效及其他</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本合同经双方签字并盖公章后生效。</w:t>
      </w:r>
      <w:r>
        <w:rPr>
          <w:color w:val="000000" w:themeColor="text1"/>
          <w:highlight w:val="none"/>
        </w:rPr>
      </w:r>
    </w:p>
    <w:p>
      <w:pPr>
        <w:numPr>
          <w:ilvl w:val="1"/>
          <w:numId w:val="24"/>
        </w:numPr>
        <w:ind w:left="0" w:firstLine="480"/>
        <w:spacing w:line="360" w:lineRule="auto"/>
        <w:tabs>
          <w:tab w:val="left" w:pos="540"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下列文件为本合同不可分割部分：</w:t>
      </w:r>
      <w:r>
        <w:rPr>
          <w:color w:val="000000" w:themeColor="text1"/>
          <w:highlight w:val="none"/>
        </w:rPr>
      </w:r>
    </w:p>
    <w:p>
      <w:pPr>
        <w:numPr>
          <w:ilvl w:val="0"/>
          <w:numId w:val="25"/>
        </w:numPr>
        <w:ind w:left="0" w:firstLine="480"/>
        <w:spacing w:line="360" w:lineRule="auto"/>
        <w:tabs>
          <w:tab w:val="left" w:pos="1020" w:leader="none"/>
          <w:tab w:val="left" w:pos="1080" w:leader="none"/>
          <w:tab w:val="clear" w:pos="2579"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成交通知书；</w:t>
      </w:r>
      <w:r>
        <w:rPr>
          <w:color w:val="000000" w:themeColor="text1"/>
          <w:highlight w:val="none"/>
        </w:rPr>
      </w:r>
    </w:p>
    <w:p>
      <w:pPr>
        <w:numPr>
          <w:ilvl w:val="0"/>
          <w:numId w:val="25"/>
        </w:numPr>
        <w:ind w:left="0" w:firstLine="480"/>
        <w:spacing w:line="360" w:lineRule="auto"/>
        <w:tabs>
          <w:tab w:val="left" w:pos="1020" w:leader="none"/>
          <w:tab w:val="left" w:pos="1080" w:leader="none"/>
          <w:tab w:val="clear" w:pos="2579"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乙方响应文件；</w:t>
      </w:r>
      <w:r>
        <w:rPr>
          <w:color w:val="000000" w:themeColor="text1"/>
          <w:highlight w:val="none"/>
        </w:rPr>
      </w:r>
    </w:p>
    <w:p>
      <w:pPr>
        <w:numPr>
          <w:ilvl w:val="0"/>
          <w:numId w:val="25"/>
        </w:numPr>
        <w:ind w:left="0" w:firstLine="480"/>
        <w:spacing w:line="360" w:lineRule="auto"/>
        <w:tabs>
          <w:tab w:val="left" w:pos="1020" w:leader="none"/>
          <w:tab w:val="left" w:pos="1080" w:leader="none"/>
          <w:tab w:val="clear" w:pos="2579"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磋商文件；</w:t>
      </w:r>
      <w:r>
        <w:rPr>
          <w:color w:val="000000" w:themeColor="text1"/>
          <w:highlight w:val="none"/>
        </w:rPr>
      </w:r>
    </w:p>
    <w:p>
      <w:pPr>
        <w:numPr>
          <w:ilvl w:val="0"/>
          <w:numId w:val="25"/>
        </w:numPr>
        <w:ind w:left="0" w:firstLine="480"/>
        <w:spacing w:line="360" w:lineRule="auto"/>
        <w:tabs>
          <w:tab w:val="left" w:pos="1020" w:leader="none"/>
          <w:tab w:val="left" w:pos="1080" w:leader="none"/>
          <w:tab w:val="clear" w:pos="2579" w:leader="none"/>
        </w:tabs>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乙方在招投标过程</w:t>
      </w:r>
      <w:r>
        <w:rPr>
          <w:rFonts w:hint="eastAsia" w:ascii="宋体" w:hAnsi="宋体"/>
          <w:color w:val="000000" w:themeColor="text1"/>
          <w:sz w:val="24"/>
          <w:szCs w:val="24"/>
          <w:highlight w:val="none"/>
        </w:rPr>
        <w:t xml:space="preserve">中所作的其他承诺、声明、书面澄清等。</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未尽事宜</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未尽事宜应按照《中华人民共和国民法典》、《中华人民共和国政府采购法》等相关法律法规之规定解释。</w:t>
      </w:r>
      <w:r>
        <w:rPr>
          <w:color w:val="000000" w:themeColor="text1"/>
          <w:highlight w:val="none"/>
        </w:rPr>
      </w:r>
    </w:p>
    <w:p>
      <w:pPr>
        <w:numPr>
          <w:ilvl w:val="0"/>
          <w:numId w:val="24"/>
        </w:numPr>
        <w:ind w:left="0" w:firstLine="482"/>
        <w:spacing w:line="360" w:lineRule="auto"/>
        <w:tabs>
          <w:tab w:val="clear" w:pos="425" w:leader="none"/>
          <w:tab w:val="left" w:pos="540" w:leader="none"/>
        </w:tabs>
        <w:rPr>
          <w:rFonts w:hint="eastAsia" w:ascii="宋体" w:hAnsi="宋体" w:cs="仿宋_GB2312"/>
          <w:b/>
          <w:color w:val="000000" w:themeColor="text1"/>
          <w:sz w:val="24"/>
          <w:szCs w:val="24"/>
          <w:highlight w:val="none"/>
        </w:rPr>
      </w:pPr>
      <w:r>
        <w:rPr>
          <w:rFonts w:hint="eastAsia" w:ascii="宋体" w:hAnsi="宋体" w:cs="仿宋_GB2312"/>
          <w:b/>
          <w:color w:val="000000" w:themeColor="text1"/>
          <w:sz w:val="24"/>
          <w:szCs w:val="24"/>
          <w:highlight w:val="none"/>
        </w:rPr>
        <w:t xml:space="preserve">附则</w:t>
      </w:r>
      <w:r>
        <w:rPr>
          <w:color w:val="000000" w:themeColor="text1"/>
          <w:highlight w:val="none"/>
        </w:rPr>
      </w:r>
    </w:p>
    <w:p>
      <w:pPr>
        <w:ind w:firstLine="480"/>
        <w:spacing w:line="360" w:lineRule="auto"/>
        <w:rPr>
          <w:rFonts w:hint="eastAsia" w:ascii="宋体" w:hAnsi="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本合同一式</w:t>
      </w:r>
      <w:r>
        <w:rPr>
          <w:rFonts w:hint="eastAsia" w:ascii="宋体" w:hAnsi="宋体" w:cs="仿宋_GB2312"/>
          <w:color w:val="000000" w:themeColor="text1"/>
          <w:sz w:val="24"/>
          <w:szCs w:val="24"/>
          <w:highlight w:val="none"/>
          <w:u w:val="single"/>
        </w:rPr>
        <w:t xml:space="preserve">    </w:t>
      </w:r>
      <w:r>
        <w:rPr>
          <w:rFonts w:hint="eastAsia" w:ascii="宋体" w:hAnsi="宋体" w:cs="仿宋_GB2312"/>
          <w:color w:val="000000" w:themeColor="text1"/>
          <w:sz w:val="24"/>
          <w:szCs w:val="24"/>
          <w:highlight w:val="none"/>
        </w:rPr>
        <w:t xml:space="preserve">份，甲、乙方各执</w:t>
      </w:r>
      <w:r>
        <w:rPr>
          <w:rFonts w:hint="eastAsia" w:ascii="宋体" w:hAnsi="宋体" w:cs="仿宋_GB2312"/>
          <w:color w:val="000000" w:themeColor="text1"/>
          <w:sz w:val="24"/>
          <w:szCs w:val="24"/>
          <w:highlight w:val="none"/>
          <w:u w:val="single"/>
        </w:rPr>
        <w:t xml:space="preserve">    </w:t>
      </w:r>
      <w:r>
        <w:rPr>
          <w:rFonts w:hint="eastAsia" w:ascii="宋体" w:hAnsi="宋体" w:cs="仿宋_GB2312"/>
          <w:color w:val="000000" w:themeColor="text1"/>
          <w:sz w:val="24"/>
          <w:szCs w:val="24"/>
          <w:highlight w:val="none"/>
        </w:rPr>
        <w:t xml:space="preserve">份，采购代理机构一份。</w:t>
      </w:r>
      <w:r>
        <w:rPr>
          <w:color w:val="000000" w:themeColor="text1"/>
          <w:highlight w:val="none"/>
        </w:rPr>
      </w:r>
    </w:p>
    <w:p>
      <w:pPr>
        <w:ind w:firstLine="420"/>
        <w:spacing w:line="360" w:lineRule="auto"/>
        <w:rPr>
          <w:rFonts w:hint="eastAsia" w:ascii="宋体" w:hAnsi="宋体" w:cs="宋体"/>
          <w:strike/>
          <w:color w:val="000000" w:themeColor="text1"/>
          <w:sz w:val="24"/>
          <w:szCs w:val="24"/>
          <w:highlight w:val="none"/>
        </w:rPr>
      </w:pPr>
      <w:r>
        <w:rPr>
          <w:rFonts w:hint="eastAsia" w:ascii="宋体" w:hAnsi="宋体" w:cs="宋体"/>
          <w:strike/>
          <w:color w:val="000000" w:themeColor="text1"/>
          <w:sz w:val="24"/>
          <w:szCs w:val="24"/>
          <w:highlight w:val="none"/>
        </w:rPr>
      </w:r>
      <w:r>
        <w:rPr>
          <w:color w:val="000000" w:themeColor="text1"/>
          <w:highlight w:val="none"/>
        </w:rPr>
      </w:r>
    </w:p>
    <w:tbl>
      <w:tblPr>
        <w:tblW w:w="0" w:type="auto"/>
        <w:jc w:val="center"/>
        <w:tblLayout w:type="fixed"/>
        <w:tblLook w:val="0000" w:firstRow="0" w:lastRow="0" w:firstColumn="0" w:lastColumn="0" w:noHBand="0" w:noVBand="0"/>
      </w:tblPr>
      <w:tblGrid>
        <w:gridCol w:w="4503"/>
        <w:gridCol w:w="3969"/>
      </w:tblGrid>
      <w:tr>
        <w:trPr>
          <w:jc w:val="center"/>
        </w:trPr>
        <w:tc>
          <w:tcPr>
            <w:tcW w:w="450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TW" w:eastAsia="zh-TW"/>
              </w:rPr>
              <w:t xml:space="preserve">甲方：</w:t>
            </w:r>
            <w:r>
              <w:rPr>
                <w:color w:val="000000" w:themeColor="text1"/>
                <w:highlight w:val="none"/>
              </w:rPr>
            </w:r>
          </w:p>
        </w:tc>
        <w:tc>
          <w:tcPr>
            <w:tcW w:w="3969"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TW" w:eastAsia="zh-TW"/>
              </w:rPr>
              <w:t xml:space="preserve">乙方：</w:t>
            </w:r>
            <w:r>
              <w:rPr>
                <w:color w:val="000000" w:themeColor="text1"/>
                <w:highlight w:val="none"/>
              </w:rPr>
            </w:r>
          </w:p>
        </w:tc>
      </w:tr>
      <w:tr>
        <w:trPr>
          <w:jc w:val="center"/>
        </w:trPr>
        <w:tc>
          <w:tcPr>
            <w:tcW w:w="450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TW"/>
              </w:rPr>
              <w:t xml:space="preserve">法定代表人（授权代表）：</w:t>
            </w:r>
            <w:r>
              <w:rPr>
                <w:color w:val="000000" w:themeColor="text1"/>
                <w:highlight w:val="none"/>
              </w:rPr>
            </w:r>
          </w:p>
        </w:tc>
        <w:tc>
          <w:tcPr>
            <w:tcW w:w="3969"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TW"/>
              </w:rPr>
              <w:t xml:space="preserve">法定代表人（授权代表）：</w:t>
            </w:r>
            <w:r>
              <w:rPr>
                <w:color w:val="000000" w:themeColor="text1"/>
                <w:highlight w:val="none"/>
              </w:rPr>
            </w:r>
          </w:p>
        </w:tc>
      </w:tr>
      <w:tr>
        <w:trPr>
          <w:jc w:val="center"/>
        </w:trPr>
        <w:tc>
          <w:tcPr>
            <w:tcW w:w="450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TW" w:eastAsia="zh-TW"/>
              </w:rPr>
              <w:t xml:space="preserve">日期：</w:t>
            </w:r>
            <w:r>
              <w:rPr>
                <w:color w:val="000000" w:themeColor="text1"/>
                <w:highlight w:val="none"/>
              </w:rPr>
            </w:r>
          </w:p>
        </w:tc>
        <w:tc>
          <w:tcPr>
            <w:tcW w:w="3969"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TW" w:eastAsia="zh-TW"/>
              </w:rPr>
              <w:t xml:space="preserve">日期：</w:t>
            </w:r>
            <w:r>
              <w:rPr>
                <w:color w:val="000000" w:themeColor="text1"/>
                <w:highlight w:val="none"/>
              </w:rPr>
            </w:r>
          </w:p>
        </w:tc>
      </w:tr>
      <w:tr>
        <w:trPr>
          <w:jc w:val="center"/>
        </w:trPr>
        <w:tc>
          <w:tcPr>
            <w:tcW w:w="450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969"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TW" w:eastAsia="zh-TW"/>
              </w:rPr>
              <w:t xml:space="preserve">开户行：</w:t>
            </w:r>
            <w:r>
              <w:rPr>
                <w:color w:val="000000" w:themeColor="text1"/>
                <w:highlight w:val="none"/>
              </w:rPr>
            </w:r>
          </w:p>
        </w:tc>
      </w:tr>
      <w:tr>
        <w:trPr>
          <w:jc w:val="center"/>
        </w:trPr>
        <w:tc>
          <w:tcPr>
            <w:tcW w:w="450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969"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TW" w:eastAsia="zh-TW"/>
              </w:rPr>
              <w:t xml:space="preserve">账户：</w:t>
            </w:r>
            <w:r>
              <w:rPr>
                <w:color w:val="000000" w:themeColor="text1"/>
                <w:highlight w:val="none"/>
              </w:rPr>
            </w:r>
          </w:p>
        </w:tc>
      </w:tr>
      <w:tr>
        <w:trPr>
          <w:jc w:val="center"/>
        </w:trPr>
        <w:tc>
          <w:tcPr>
            <w:tcW w:w="4503"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969"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747"/>
        <w:rPr>
          <w:color w:val="000000" w:themeColor="text1"/>
          <w:highlight w:val="none"/>
        </w:rPr>
      </w:pPr>
      <w:r>
        <w:rPr>
          <w:color w:val="000000" w:themeColor="text1"/>
          <w:highlight w:val="none"/>
        </w:rPr>
      </w:r>
      <w:r>
        <w:rPr>
          <w:color w:val="000000" w:themeColor="text1"/>
          <w:highlight w:val="none"/>
        </w:rPr>
      </w:r>
    </w:p>
    <w:p>
      <w:pPr>
        <w:jc w:val="left"/>
        <w:widowControl/>
        <w:rPr>
          <w:color w:val="000000" w:themeColor="text1"/>
          <w:szCs w:val="20"/>
          <w:highlight w:val="none"/>
        </w:rPr>
      </w:pPr>
      <w:r>
        <w:rPr>
          <w:color w:val="000000" w:themeColor="text1"/>
          <w:highlight w:val="none"/>
        </w:rPr>
        <w:br w:type="page" w:clear="all"/>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sz w:val="43"/>
          <w:szCs w:val="43"/>
          <w:highlight w:val="none"/>
        </w:rPr>
      </w:pPr>
      <w:r>
        <w:rPr>
          <w:rStyle w:val="848"/>
          <w:rFonts w:hint="eastAsia" w:ascii="宋体" w:hAnsi="宋体" w:cs="宋体"/>
          <w:color w:val="000000" w:themeColor="text1"/>
          <w:sz w:val="43"/>
          <w:szCs w:val="43"/>
          <w:highlight w:val="none"/>
        </w:rPr>
        <w:t xml:space="preserve">第五章  磋商响应文件格式</w:t>
      </w:r>
      <w:r>
        <w:rPr>
          <w:color w:val="000000" w:themeColor="text1"/>
          <w:highlight w:val="none"/>
        </w:rPr>
      </w:r>
    </w:p>
    <w:p>
      <w:pPr>
        <w:pStyle w:val="842"/>
        <w:jc w:val="center"/>
        <w:spacing w:before="75" w:beforeAutospacing="0" w:after="75" w:afterAutospacing="0"/>
        <w:widowControl/>
        <w:rPr>
          <w:rFonts w:ascii="sans-serif" w:hAnsi="sans-serif" w:eastAsia="sans-serif" w:cs="sans-serif"/>
          <w:color w:val="000000" w:themeColor="text1"/>
          <w:highlight w:val="none"/>
        </w:rPr>
      </w:pPr>
      <w:r>
        <w:rPr>
          <w:rStyle w:val="848"/>
          <w:rFonts w:hint="eastAsia" w:ascii="宋体" w:hAnsi="宋体" w:cs="宋体"/>
          <w:color w:val="000000" w:themeColor="text1"/>
          <w:sz w:val="36"/>
          <w:szCs w:val="36"/>
          <w:highlight w:val="none"/>
        </w:rPr>
        <w:t xml:space="preserve"> </w:t>
      </w:r>
      <w:r>
        <w:rPr>
          <w:color w:val="000000" w:themeColor="text1"/>
          <w:highlight w:val="none"/>
        </w:rPr>
      </w:r>
    </w:p>
    <w:p>
      <w:pPr>
        <w:pStyle w:val="842"/>
        <w:jc w:val="center"/>
        <w:spacing w:before="75" w:beforeAutospacing="0" w:after="75" w:afterAutospacing="0" w:line="435" w:lineRule="atLeast"/>
        <w:widowControl/>
        <w:rPr>
          <w:rFonts w:ascii="sans-serif" w:hAnsi="sans-serif" w:eastAsia="sans-serif" w:cs="sans-serif"/>
          <w:color w:val="000000" w:themeColor="text1"/>
          <w:highlight w:val="none"/>
        </w:rPr>
      </w:pPr>
      <w:r>
        <w:rPr>
          <w:rStyle w:val="848"/>
          <w:rFonts w:hint="eastAsia" w:ascii="宋体" w:hAnsi="宋体" w:cs="宋体"/>
          <w:color w:val="000000" w:themeColor="text1"/>
          <w:highlight w:val="none"/>
        </w:rPr>
        <w:t xml:space="preserve">编制说明</w:t>
      </w:r>
      <w:r>
        <w:rPr>
          <w:color w:val="000000" w:themeColor="text1"/>
          <w:highlight w:val="none"/>
        </w:rPr>
      </w:r>
    </w:p>
    <w:p>
      <w:pPr>
        <w:pStyle w:val="842"/>
        <w:spacing w:before="75" w:beforeAutospacing="0" w:after="75" w:afterAutospacing="0" w:line="435" w:lineRule="atLeast"/>
        <w:widowControl/>
        <w:rPr>
          <w:rFonts w:ascii="sans-serif" w:hAnsi="sans-serif" w:eastAsia="sans-serif" w:cs="sans-serif"/>
          <w:color w:val="000000" w:themeColor="text1"/>
          <w:highlight w:val="none"/>
        </w:rPr>
      </w:pPr>
      <w:r>
        <w:rPr>
          <w:rFonts w:hint="eastAsia" w:ascii="宋体" w:hAnsi="宋体" w:cs="宋体"/>
          <w:color w:val="000000" w:themeColor="text1"/>
          <w:highlight w:val="none"/>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rPr>
          <w:color w:val="000000" w:themeColor="text1"/>
          <w:highlight w:val="none"/>
        </w:rPr>
      </w:r>
    </w:p>
    <w:p>
      <w:pPr>
        <w:spacing w:line="360" w:lineRule="auto"/>
        <w:rPr>
          <w:rFonts w:hint="eastAsia" w:ascii="宋体" w:hAnsi="宋体" w:cs="宋体"/>
          <w:color w:val="000000" w:themeColor="text1"/>
          <w:spacing w:val="6"/>
          <w:sz w:val="24"/>
          <w:highlight w:val="none"/>
        </w:rPr>
      </w:pPr>
      <w:r>
        <w:rPr>
          <w:rFonts w:hint="eastAsia" w:ascii="宋体" w:hAnsi="宋体" w:cs="宋体"/>
          <w:color w:val="000000" w:themeColor="text1"/>
          <w:spacing w:val="6"/>
          <w:sz w:val="24"/>
          <w:highlight w:val="none"/>
        </w:rPr>
      </w:r>
      <w:r>
        <w:rPr>
          <w:color w:val="000000" w:themeColor="text1"/>
          <w:highlight w:val="none"/>
        </w:rPr>
      </w:r>
    </w:p>
    <w:p>
      <w:pPr>
        <w:spacing w:line="360" w:lineRule="auto"/>
        <w:rPr>
          <w:rFonts w:hint="eastAsia" w:ascii="宋体" w:hAnsi="宋体" w:cs="宋体"/>
          <w:color w:val="000000" w:themeColor="text1"/>
          <w:spacing w:val="6"/>
          <w:sz w:val="24"/>
          <w:highlight w:val="none"/>
        </w:rPr>
      </w:pPr>
      <w:r>
        <w:rPr>
          <w:rFonts w:hint="eastAsia" w:ascii="宋体" w:hAnsi="宋体" w:cs="宋体"/>
          <w:color w:val="000000" w:themeColor="text1"/>
          <w:spacing w:val="6"/>
          <w:sz w:val="24"/>
          <w:highlight w:val="none"/>
        </w:rPr>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sz w:val="36"/>
          <w:szCs w:val="36"/>
          <w:highlight w:val="none"/>
        </w:rPr>
      </w:pPr>
      <w:r>
        <w:rPr>
          <w:rStyle w:val="848"/>
          <w:rFonts w:hint="eastAsia" w:ascii="宋体" w:hAnsi="宋体" w:cs="宋体"/>
          <w:color w:val="000000" w:themeColor="text1"/>
          <w:sz w:val="36"/>
          <w:szCs w:val="36"/>
          <w:highlight w:val="none"/>
        </w:rPr>
        <w:t xml:space="preserve">苏州市政府采购服务类项目</w:t>
      </w:r>
      <w:r>
        <w:rPr>
          <w:color w:val="000000" w:themeColor="text1"/>
          <w:highlight w:val="none"/>
        </w:rPr>
      </w:r>
    </w:p>
    <w:p>
      <w:pPr>
        <w:pStyle w:val="842"/>
        <w:jc w:val="center"/>
        <w:spacing w:before="75" w:beforeAutospacing="0" w:after="75" w:afterAutospacing="0"/>
        <w:widowControl/>
        <w:rPr>
          <w:rFonts w:ascii="sans-serif" w:hAnsi="sans-serif" w:eastAsia="sans-serif" w:cs="sans-serif"/>
          <w:color w:val="000000" w:themeColor="text1"/>
          <w:highlight w:val="none"/>
        </w:rPr>
      </w:pPr>
      <w:r>
        <w:rPr>
          <w:rStyle w:val="848"/>
          <w:rFonts w:hint="eastAsia" w:ascii="宋体" w:hAnsi="宋体" w:cs="宋体"/>
          <w:color w:val="000000" w:themeColor="text1"/>
          <w:sz w:val="36"/>
          <w:szCs w:val="36"/>
          <w:highlight w:val="none"/>
        </w:rPr>
        <w:t xml:space="preserve">竞争性磋商响应文件</w:t>
      </w:r>
      <w:r>
        <w:rPr>
          <w:color w:val="000000" w:themeColor="text1"/>
          <w:highlight w:val="none"/>
        </w:rPr>
      </w:r>
    </w:p>
    <w:p>
      <w:pPr>
        <w:pStyle w:val="842"/>
        <w:spacing w:before="75" w:beforeAutospacing="0" w:after="75" w:afterAutospacing="0"/>
        <w:widowControl/>
        <w:rPr>
          <w:rFonts w:ascii="sans-serif" w:hAnsi="sans-serif" w:eastAsia="sans-serif" w:cs="sans-serif"/>
          <w:color w:val="000000" w:themeColor="text1"/>
          <w:highlight w:val="none"/>
        </w:rPr>
      </w:pPr>
      <w:r>
        <w:rPr>
          <w:rStyle w:val="848"/>
          <w:rFonts w:hint="eastAsia" w:ascii="宋体" w:hAnsi="宋体" w:cs="宋体"/>
          <w:color w:val="000000" w:themeColor="text1"/>
          <w:highlight w:val="none"/>
        </w:rPr>
        <w:t xml:space="preserve">                                                </w:t>
      </w:r>
      <w:r>
        <w:rPr>
          <w:color w:val="000000" w:themeColor="text1"/>
          <w:highlight w:val="none"/>
        </w:rPr>
      </w:r>
    </w:p>
    <w:p>
      <w:pPr>
        <w:pStyle w:val="842"/>
        <w:jc w:val="center"/>
        <w:spacing w:before="75" w:beforeAutospacing="0" w:after="75" w:afterAutospacing="0"/>
        <w:widowControl/>
        <w:rPr>
          <w:rFonts w:ascii="sans-serif" w:hAnsi="sans-serif" w:eastAsia="sans-serif" w:cs="sans-serif"/>
          <w:color w:val="000000" w:themeColor="text1"/>
          <w:highlight w:val="none"/>
        </w:rPr>
      </w:pPr>
      <w:r>
        <w:rPr>
          <w:rFonts w:hint="eastAsia" w:ascii="宋体" w:hAnsi="宋体" w:cs="宋体"/>
          <w:color w:val="000000" w:themeColor="text1"/>
          <w:sz w:val="30"/>
          <w:szCs w:val="30"/>
          <w:highlight w:val="none"/>
        </w:rPr>
        <w:t xml:space="preserve"> </w:t>
      </w:r>
      <w:r>
        <w:rPr>
          <w:color w:val="000000" w:themeColor="text1"/>
          <w:highlight w:val="none"/>
        </w:rPr>
      </w:r>
    </w:p>
    <w:p>
      <w:pPr>
        <w:pStyle w:val="842"/>
        <w:ind w:firstLine="723"/>
        <w:spacing w:beforeAutospacing="0" w:afterAutospacing="0" w:line="600" w:lineRule="exact"/>
        <w:widowControl/>
        <w:rPr>
          <w:rFonts w:hint="eastAsia" w:ascii="sans-serif" w:hAnsi="sans-serif" w:cs="sans-serif"/>
          <w:color w:val="000000" w:themeColor="text1"/>
          <w:highlight w:val="none"/>
        </w:rPr>
      </w:pPr>
      <w:r>
        <w:rPr>
          <w:rStyle w:val="848"/>
          <w:rFonts w:hint="eastAsia" w:ascii="宋体" w:hAnsi="宋体" w:cs="宋体"/>
          <w:color w:val="000000" w:themeColor="text1"/>
          <w:highlight w:val="none"/>
        </w:rPr>
        <w:t xml:space="preserve">采购编号：</w:t>
      </w:r>
      <w:r>
        <w:rPr>
          <w:color w:val="000000" w:themeColor="text1"/>
          <w:highlight w:val="none"/>
        </w:rPr>
      </w:r>
    </w:p>
    <w:p>
      <w:pPr>
        <w:pStyle w:val="842"/>
        <w:ind w:firstLine="723"/>
        <w:spacing w:beforeAutospacing="0" w:afterAutospacing="0" w:line="600" w:lineRule="exact"/>
        <w:widowControl/>
        <w:rPr>
          <w:rFonts w:hint="eastAsia" w:ascii="sans-serif" w:hAnsi="sans-serif" w:cs="sans-serif"/>
          <w:color w:val="000000" w:themeColor="text1"/>
          <w:highlight w:val="none"/>
        </w:rPr>
      </w:pPr>
      <w:r>
        <w:rPr>
          <w:rStyle w:val="848"/>
          <w:rFonts w:hint="eastAsia" w:ascii="宋体" w:hAnsi="宋体" w:cs="宋体"/>
          <w:color w:val="000000" w:themeColor="text1"/>
          <w:highlight w:val="none"/>
        </w:rPr>
        <w:t xml:space="preserve">项目名称：</w:t>
      </w:r>
      <w:r>
        <w:rPr>
          <w:color w:val="000000" w:themeColor="text1"/>
          <w:highlight w:val="none"/>
        </w:rPr>
      </w:r>
    </w:p>
    <w:p>
      <w:pPr>
        <w:pStyle w:val="842"/>
        <w:ind w:firstLine="723"/>
        <w:spacing w:beforeAutospacing="0" w:afterAutospacing="0" w:line="600" w:lineRule="exact"/>
        <w:widowControl/>
        <w:rPr>
          <w:rFonts w:ascii="sans-serif" w:hAnsi="sans-serif" w:eastAsia="sans-serif" w:cs="sans-serif"/>
          <w:color w:val="000000" w:themeColor="text1"/>
          <w:highlight w:val="none"/>
        </w:rPr>
      </w:pPr>
      <w:r>
        <w:rPr>
          <w:rStyle w:val="848"/>
          <w:rFonts w:hint="eastAsia" w:ascii="宋体" w:hAnsi="宋体" w:cs="宋体"/>
          <w:color w:val="000000" w:themeColor="text1"/>
          <w:highlight w:val="none"/>
        </w:rPr>
        <w:t xml:space="preserve">供应商名称：</w:t>
      </w:r>
      <w:r>
        <w:rPr>
          <w:rStyle w:val="848"/>
          <w:rFonts w:hint="eastAsia" w:ascii="宋体" w:hAnsi="宋体" w:cs="宋体"/>
          <w:color w:val="000000" w:themeColor="text1"/>
          <w:highlight w:val="none"/>
          <w:u w:val="single"/>
        </w:rPr>
        <w:t xml:space="preserve">                    </w:t>
      </w:r>
      <w:r>
        <w:rPr>
          <w:color w:val="000000" w:themeColor="text1"/>
          <w:highlight w:val="none"/>
        </w:rPr>
      </w:r>
    </w:p>
    <w:p>
      <w:pPr>
        <w:pStyle w:val="842"/>
        <w:spacing w:beforeAutospacing="0" w:afterAutospacing="0" w:line="600" w:lineRule="exact"/>
        <w:widowControl/>
        <w:rPr>
          <w:rFonts w:ascii="sans-serif" w:hAnsi="sans-serif" w:eastAsia="sans-serif" w:cs="sans-serif"/>
          <w:color w:val="000000" w:themeColor="text1"/>
          <w:highlight w:val="none"/>
        </w:rPr>
      </w:pPr>
      <w:r>
        <w:rPr>
          <w:rStyle w:val="848"/>
          <w:rFonts w:hint="eastAsia" w:ascii="宋体" w:hAnsi="宋体" w:cs="宋体"/>
          <w:color w:val="000000" w:themeColor="text1"/>
          <w:sz w:val="36"/>
          <w:szCs w:val="36"/>
          <w:highlight w:val="none"/>
        </w:rPr>
        <w:t xml:space="preserve">  </w:t>
      </w:r>
      <w:r>
        <w:rPr>
          <w:rStyle w:val="848"/>
          <w:rFonts w:hint="eastAsia" w:ascii="宋体" w:hAnsi="宋体" w:cs="宋体"/>
          <w:color w:val="000000" w:themeColor="text1"/>
          <w:highlight w:val="none"/>
        </w:rPr>
        <w:t xml:space="preserve">日   期：</w:t>
      </w:r>
      <w:r>
        <w:rPr>
          <w:rStyle w:val="848"/>
          <w:rFonts w:hint="eastAsia" w:ascii="宋体" w:hAnsi="宋体" w:cs="宋体"/>
          <w:color w:val="000000" w:themeColor="text1"/>
          <w:highlight w:val="none"/>
          <w:u w:val="single"/>
        </w:rPr>
        <w:t xml:space="preserve">                    </w:t>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highlight w:val="none"/>
          <w:u w:val="single"/>
        </w:rPr>
      </w:pPr>
      <w:r>
        <w:rPr>
          <w:rFonts w:hint="eastAsia" w:ascii="宋体" w:hAnsi="宋体" w:cs="宋体"/>
          <w:color w:val="000000" w:themeColor="text1"/>
          <w:highlight w:val="none"/>
          <w:u w:val="single"/>
        </w:rPr>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highlight w:val="none"/>
          <w:u w:val="single"/>
        </w:rPr>
      </w:pPr>
      <w:r>
        <w:rPr>
          <w:rFonts w:hint="eastAsia" w:ascii="宋体" w:hAnsi="宋体" w:cs="宋体"/>
          <w:color w:val="000000" w:themeColor="text1"/>
          <w:highlight w:val="none"/>
          <w:u w:val="single"/>
        </w:rPr>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highlight w:val="none"/>
          <w:u w:val="single"/>
        </w:rPr>
      </w:pPr>
      <w:r>
        <w:rPr>
          <w:rFonts w:hint="eastAsia" w:ascii="宋体" w:hAnsi="宋体" w:cs="宋体"/>
          <w:color w:val="000000" w:themeColor="text1"/>
          <w:highlight w:val="none"/>
          <w:u w:val="single"/>
        </w:rPr>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highlight w:val="none"/>
          <w:u w:val="single"/>
        </w:rPr>
      </w:pPr>
      <w:r>
        <w:rPr>
          <w:rFonts w:hint="eastAsia" w:ascii="宋体" w:hAnsi="宋体" w:cs="宋体"/>
          <w:color w:val="000000" w:themeColor="text1"/>
          <w:highlight w:val="none"/>
          <w:u w:val="single"/>
        </w:rPr>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highlight w:val="none"/>
          <w:u w:val="single"/>
        </w:rPr>
      </w:pPr>
      <w:r>
        <w:rPr>
          <w:rFonts w:hint="eastAsia" w:ascii="宋体" w:hAnsi="宋体" w:cs="宋体"/>
          <w:color w:val="000000" w:themeColor="text1"/>
          <w:highlight w:val="none"/>
          <w:u w:val="single"/>
        </w:rPr>
      </w:r>
      <w:r>
        <w:rPr>
          <w:color w:val="000000" w:themeColor="text1"/>
          <w:highlight w:val="none"/>
        </w:rPr>
      </w:r>
    </w:p>
    <w:p>
      <w:pPr>
        <w:pStyle w:val="842"/>
        <w:jc w:val="center"/>
        <w:spacing w:before="75" w:beforeAutospacing="0" w:after="75" w:afterAutospacing="0"/>
        <w:widowControl/>
        <w:rPr>
          <w:rStyle w:val="848"/>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p>
    <w:p>
      <w:pPr>
        <w:rPr>
          <w:rStyle w:val="848"/>
          <w:rFonts w:hint="eastAsia" w:ascii="宋体" w:hAnsi="宋体" w:cs="宋体"/>
          <w:color w:val="000000" w:themeColor="text1"/>
          <w:sz w:val="36"/>
          <w:szCs w:val="36"/>
          <w:highlight w:val="none"/>
        </w:rPr>
      </w:pPr>
      <w:r>
        <w:rPr>
          <w:rStyle w:val="848"/>
          <w:rFonts w:hint="eastAsia" w:ascii="宋体" w:hAnsi="宋体" w:cs="宋体"/>
          <w:color w:val="000000" w:themeColor="text1"/>
          <w:sz w:val="36"/>
          <w:szCs w:val="36"/>
          <w:highlight w:val="none"/>
        </w:rPr>
        <w:br w:type="page" w:clear="all"/>
      </w:r>
      <w:r>
        <w:rPr>
          <w:color w:val="000000" w:themeColor="text1"/>
          <w:highlight w:val="none"/>
        </w:rPr>
      </w:r>
    </w:p>
    <w:p>
      <w:pPr>
        <w:jc w:val="left"/>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1、磋商响应函</w:t>
      </w:r>
      <w:r>
        <w:rPr>
          <w:color w:val="000000" w:themeColor="text1"/>
          <w:highlight w:val="none"/>
        </w:rPr>
      </w:r>
    </w:p>
    <w:p>
      <w:pPr>
        <w:jc w:val="center"/>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磋商响应函</w:t>
      </w:r>
      <w:r>
        <w:rPr>
          <w:color w:val="000000" w:themeColor="text1"/>
          <w:highlight w:val="none"/>
        </w:rPr>
      </w:r>
    </w:p>
    <w:p>
      <w:pPr>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致：</w:t>
      </w:r>
      <w:r>
        <w:rPr>
          <w:rFonts w:hint="eastAsia" w:ascii="宋体" w:hAnsi="宋体" w:cs="宋体"/>
          <w:color w:val="000000" w:themeColor="text1"/>
          <w:sz w:val="24"/>
          <w:szCs w:val="24"/>
          <w:highlight w:val="none"/>
          <w:u w:val="single"/>
          <w:lang w:val="zh-CN"/>
        </w:rPr>
        <w:t xml:space="preserve">             </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我方收到贵公司</w:t>
      </w:r>
      <w:r>
        <w:rPr>
          <w:rFonts w:hint="eastAsia" w:ascii="宋体" w:hAnsi="宋体" w:cs="宋体"/>
          <w:color w:val="000000" w:themeColor="text1"/>
          <w:sz w:val="24"/>
          <w:szCs w:val="24"/>
          <w:highlight w:val="none"/>
          <w:u w:val="single"/>
          <w:lang w:val="zh-CN"/>
        </w:rPr>
        <w:t xml:space="preserve">             </w:t>
      </w:r>
      <w:r>
        <w:rPr>
          <w:rFonts w:hint="eastAsia" w:ascii="宋体" w:hAnsi="宋体" w:cs="宋体"/>
          <w:color w:val="000000" w:themeColor="text1"/>
          <w:sz w:val="24"/>
          <w:szCs w:val="24"/>
          <w:highlight w:val="none"/>
          <w:lang w:val="zh-CN"/>
        </w:rPr>
        <w:t xml:space="preserve">（项目编号）采购文件，经仔细阅读和研究，我方决定参加磋商活动，并向贵中心作出如下承诺：</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1、我方愿意按照采购文件的一切要求，提供本项目的所有内容，我方的报价包括完成本项工作所需的一切应有费用。</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3、我方已详细审查并同意采购文件及更正文件（若有）中的规定。我方完全理解并同意放弃对这方面有不明及误解的权利。</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4、本磋商响应文件的有效期限为</w:t>
      </w:r>
      <w:r>
        <w:rPr>
          <w:rFonts w:hint="eastAsia" w:ascii="宋体" w:hAnsi="宋体"/>
          <w:color w:val="000000" w:themeColor="text1"/>
          <w:sz w:val="24"/>
          <w:szCs w:val="24"/>
          <w:highlight w:val="none"/>
        </w:rPr>
        <w:t xml:space="preserve">响应文件接收</w:t>
      </w:r>
      <w:r>
        <w:rPr>
          <w:rFonts w:hint="eastAsia" w:ascii="宋体" w:hAnsi="宋体" w:cs="宋体"/>
          <w:color w:val="000000" w:themeColor="text1"/>
          <w:sz w:val="24"/>
          <w:szCs w:val="24"/>
          <w:highlight w:val="none"/>
          <w:lang w:val="zh-CN"/>
        </w:rPr>
        <w:t xml:space="preserve">截止时间之日起60天。</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5、我方保证所提交的响应文件中所有资料均是真实的、准确的。若与真实情况不符，我方愿意承担由此而产生的一切后果。</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7、我方承诺磋商响应文件在磋商开始后的全过程中保持有效，不作任何更改和变动。</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8、我方承诺满足《中华人民共和国政府采购法》第二十二条规定的所有条件。</w:t>
      </w:r>
      <w:r>
        <w:rPr>
          <w:color w:val="000000" w:themeColor="text1"/>
          <w:highlight w:val="none"/>
        </w:rPr>
      </w:r>
    </w:p>
    <w:p>
      <w:pPr>
        <w:ind w:firstLine="42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9、与本磋商响应有关的通讯地址：</w:t>
      </w:r>
      <w:r>
        <w:rPr>
          <w:color w:val="000000" w:themeColor="text1"/>
          <w:highlight w:val="none"/>
        </w:rPr>
      </w:r>
    </w:p>
    <w:p>
      <w:pPr>
        <w:ind w:firstLine="21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单   位：                                              联 系 人： </w:t>
      </w:r>
      <w:r>
        <w:rPr>
          <w:color w:val="000000" w:themeColor="text1"/>
          <w:highlight w:val="none"/>
        </w:rPr>
      </w:r>
    </w:p>
    <w:p>
      <w:pPr>
        <w:ind w:firstLine="21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地   址：                                              邮政编码： </w:t>
      </w:r>
      <w:r>
        <w:rPr>
          <w:color w:val="000000" w:themeColor="text1"/>
          <w:highlight w:val="none"/>
        </w:rPr>
      </w:r>
    </w:p>
    <w:p>
      <w:pPr>
        <w:ind w:firstLine="21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联系电话：                                             电子邮箱：</w:t>
      </w:r>
      <w:r>
        <w:rPr>
          <w:color w:val="000000" w:themeColor="text1"/>
          <w:highlight w:val="none"/>
        </w:rPr>
      </w:r>
    </w:p>
    <w:p>
      <w:pPr>
        <w:ind w:right="840" w:firstLine="210"/>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right="-200"/>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                                          </w:t>
      </w:r>
      <w:r>
        <w:rPr>
          <w:rFonts w:hint="eastAsia" w:ascii="宋体" w:hAnsi="宋体" w:cs="宋体"/>
          <w:color w:val="000000" w:themeColor="text1"/>
          <w:sz w:val="24"/>
          <w:szCs w:val="24"/>
          <w:highlight w:val="none"/>
        </w:rPr>
        <w:t xml:space="preserve">供应商名称</w:t>
      </w:r>
      <w:r>
        <w:rPr>
          <w:rFonts w:hint="eastAsia" w:ascii="宋体" w:hAnsi="宋体"/>
          <w:color w:val="000000" w:themeColor="text1"/>
          <w:sz w:val="24"/>
          <w:szCs w:val="24"/>
          <w:highlight w:val="none"/>
        </w:rPr>
        <w:t xml:space="preserve">：（公章）</w:t>
      </w:r>
      <w:r>
        <w:rPr>
          <w:rFonts w:hint="eastAsia" w:ascii="宋体" w:hAnsi="宋体" w:cs="宋体"/>
          <w:color w:val="000000" w:themeColor="text1"/>
          <w:sz w:val="24"/>
          <w:szCs w:val="24"/>
          <w:highlight w:val="none"/>
          <w:lang w:val="zh-CN"/>
        </w:rPr>
        <w:t xml:space="preserve"> </w:t>
      </w:r>
      <w:r>
        <w:rPr>
          <w:color w:val="000000" w:themeColor="text1"/>
          <w:highlight w:val="none"/>
        </w:rPr>
      </w:r>
    </w:p>
    <w:p>
      <w:pPr>
        <w:ind w:firstLine="21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zh-CN"/>
        </w:rPr>
        <w:t xml:space="preserve">法定代表人或</w:t>
      </w:r>
      <w:r>
        <w:rPr>
          <w:rFonts w:hint="eastAsia" w:ascii="宋体" w:hAnsi="宋体" w:cs="宋体"/>
          <w:color w:val="000000" w:themeColor="text1"/>
          <w:sz w:val="24"/>
          <w:szCs w:val="24"/>
          <w:highlight w:val="none"/>
        </w:rPr>
        <w:t xml:space="preserve">被授权</w:t>
      </w:r>
      <w:r>
        <w:rPr>
          <w:rFonts w:hint="eastAsia" w:ascii="宋体" w:hAnsi="宋体" w:cs="宋体"/>
          <w:color w:val="000000" w:themeColor="text1"/>
          <w:sz w:val="24"/>
          <w:szCs w:val="24"/>
          <w:highlight w:val="none"/>
          <w:lang w:val="zh-CN"/>
        </w:rPr>
        <w:t xml:space="preserve">人：（签字或盖章）</w:t>
      </w:r>
      <w:r>
        <w:rPr>
          <w:color w:val="000000" w:themeColor="text1"/>
          <w:highlight w:val="none"/>
        </w:rPr>
      </w:r>
    </w:p>
    <w:p>
      <w:pPr>
        <w:ind w:right="615" w:firstLine="840"/>
        <w:jc w:val="right"/>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 日    期：     年</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zh-CN"/>
        </w:rPr>
        <w:t xml:space="preserve">月   </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zh-CN"/>
        </w:rPr>
        <w:t xml:space="preserve">日</w:t>
      </w:r>
      <w:r>
        <w:rPr>
          <w:color w:val="000000" w:themeColor="text1"/>
          <w:highlight w:val="none"/>
        </w:rPr>
      </w:r>
    </w:p>
    <w:p>
      <w:pPr>
        <w:ind w:left="3825" w:hanging="45"/>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b/>
          <w:color w:val="000000" w:themeColor="text1"/>
          <w:sz w:val="24"/>
          <w:szCs w:val="24"/>
          <w:highlight w:val="none"/>
        </w:rPr>
        <w:t xml:space="preserve">.（投标方）法定代表人授权委托书</w:t>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cente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授权委托书</w:t>
      </w:r>
      <w:r>
        <w:rPr>
          <w:color w:val="000000" w:themeColor="text1"/>
          <w:highlight w:val="none"/>
        </w:rPr>
      </w:r>
    </w:p>
    <w:p>
      <w:pPr>
        <w:ind w:firstLine="42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本授权委托书声明：  我 （姓名）系（投标单位名称）的法定代表人，现授权委托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单位名称）的（姓名）为我公司代理人，以本公司的名义参加苏州久诺招投标咨询服务有限公司组织实施的编号为号的招标活动。代理人在开标、评标、合同谈判过程中所签署的一切文件和处理与这有关的一切事务，我均予以承认。</w:t>
      </w:r>
      <w:r>
        <w:rPr>
          <w:color w:val="000000" w:themeColor="text1"/>
          <w:highlight w:val="none"/>
        </w:rP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代理人无转委托权。特此委托。</w:t>
      </w:r>
      <w:r>
        <w:rPr>
          <w:color w:val="000000" w:themeColor="text1"/>
          <w:highlight w:val="none"/>
        </w:rP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投标单位：（盖章）</w:t>
      </w:r>
      <w:r>
        <w:rPr>
          <w:color w:val="000000" w:themeColor="text1"/>
          <w:highlight w:val="none"/>
        </w:rP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法定代表人：（签字或盖章）</w:t>
      </w:r>
      <w:r>
        <w:rPr>
          <w:color w:val="000000" w:themeColor="text1"/>
          <w:highlight w:val="none"/>
        </w:rP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代理人：（签字或盖章）</w:t>
      </w:r>
      <w:r>
        <w:rPr>
          <w:color w:val="000000" w:themeColor="text1"/>
          <w:highlight w:val="none"/>
        </w:rPr>
      </w:r>
    </w:p>
    <w:p>
      <w:pPr>
        <w:ind w:firstLine="42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jc w:val="right"/>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br w:type="page" w:clear="all"/>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b/>
          <w:color w:val="000000" w:themeColor="text1"/>
          <w:sz w:val="24"/>
          <w:szCs w:val="24"/>
          <w:highlight w:val="none"/>
        </w:rPr>
        <w:t xml:space="preserve">开标一览表</w:t>
      </w:r>
      <w:r>
        <w:rPr>
          <w:color w:val="000000" w:themeColor="text1"/>
          <w:highlight w:val="none"/>
        </w:rP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center"/>
        <w:spacing w:line="480" w:lineRule="auto"/>
        <w:rPr>
          <w:rFonts w:hint="eastAsia"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开标一览表</w:t>
      </w:r>
      <w:r>
        <w:rPr>
          <w:color w:val="000000" w:themeColor="text1"/>
          <w:highlight w:val="none"/>
        </w:rPr>
      </w:r>
    </w:p>
    <w:p>
      <w:pPr>
        <w:pStyle w:val="1010"/>
        <w:ind w:firstLine="482"/>
        <w:spacing w:line="480" w:lineRule="auto"/>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rPr>
        <w:t xml:space="preserve">注：根据系统内格式统一编制。</w:t>
      </w:r>
      <w:r>
        <w:rPr>
          <w:color w:val="000000" w:themeColor="text1"/>
          <w:highlight w:val="none"/>
        </w:rPr>
      </w:r>
    </w:p>
    <w:p>
      <w:pPr>
        <w:pStyle w:val="1010"/>
        <w:spacing w:line="48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r>
      <w:r>
        <w:rPr>
          <w:color w:val="000000" w:themeColor="text1"/>
          <w:highlight w:val="none"/>
        </w:rPr>
      </w:r>
    </w:p>
    <w:p>
      <w:pPr>
        <w:spacing w:line="360" w:lineRule="auto"/>
        <w:rPr>
          <w:rFonts w:hint="eastAsia" w:ascii="宋体" w:hAnsi="宋体" w:cs="宋体"/>
          <w:b/>
          <w:color w:val="000000" w:themeColor="text1"/>
          <w:sz w:val="24"/>
          <w:szCs w:val="24"/>
          <w:highlight w:val="none"/>
        </w:rPr>
      </w:pP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 </w:t>
      </w:r>
      <w:r>
        <w:rPr>
          <w:rFonts w:hint="eastAsia" w:ascii="宋体" w:hAnsi="宋体" w:cs="宋体"/>
          <w:b/>
          <w:bCs/>
          <w:color w:val="000000" w:themeColor="text1"/>
          <w:sz w:val="24"/>
          <w:szCs w:val="24"/>
          <w:highlight w:val="none"/>
        </w:rPr>
        <w:t xml:space="preserve">磋商分项报价明细表</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center"/>
        <w:spacing w:line="480" w:lineRule="auto"/>
        <w:rPr>
          <w:rFonts w:hint="eastAsia" w:ascii="宋体" w:hAnsi="宋体" w:cs="宋体"/>
          <w:color w:val="000000" w:themeColor="text1"/>
          <w:sz w:val="24"/>
          <w:szCs w:val="24"/>
          <w:highlight w:val="none"/>
        </w:rPr>
      </w:pPr>
      <w:r>
        <w:rPr>
          <w:color w:val="000000" w:themeColor="text1"/>
          <w:highlight w:val="none"/>
        </w:rPr>
      </w:r>
      <w:bookmarkStart w:id="10" w:name="_Hlk213320203"/>
      <w:r>
        <w:rPr>
          <w:rFonts w:hint="eastAsia" w:ascii="宋体" w:hAnsi="宋体" w:cs="宋体"/>
          <w:b/>
          <w:bCs/>
          <w:color w:val="000000" w:themeColor="text1"/>
          <w:sz w:val="24"/>
          <w:szCs w:val="24"/>
          <w:highlight w:val="none"/>
        </w:rPr>
        <w:t xml:space="preserve">磋商分项报价明细表</w:t>
      </w:r>
      <w:bookmarkEnd w:id="10"/>
      <w:r>
        <w:rPr>
          <w:color w:val="000000" w:themeColor="text1"/>
          <w:highlight w:val="none"/>
        </w:rPr>
      </w:r>
      <w:r>
        <w:rPr>
          <w:color w:val="000000" w:themeColor="text1"/>
          <w:highlight w:val="none"/>
        </w:rPr>
      </w:r>
    </w:p>
    <w:p>
      <w:pPr>
        <w:pStyle w:val="995"/>
        <w:ind w:firstLine="240"/>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采购编号：</w:t>
      </w:r>
      <w:r>
        <w:rPr>
          <w:rFonts w:hAnsi="宋体" w:eastAsia="宋体"/>
          <w:color w:val="000000" w:themeColor="text1"/>
          <w:sz w:val="24"/>
          <w:szCs w:val="24"/>
          <w:highlight w:val="none"/>
        </w:rPr>
        <w:t xml:space="preserve"> </w:t>
      </w:r>
      <w:r>
        <w:rPr>
          <w:color w:val="000000" w:themeColor="text1"/>
          <w:highlight w:val="none"/>
        </w:rPr>
      </w:r>
    </w:p>
    <w:tbl>
      <w:tblPr>
        <w:tblW w:w="96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67"/>
        <w:gridCol w:w="1510"/>
        <w:gridCol w:w="2880"/>
        <w:gridCol w:w="900"/>
        <w:gridCol w:w="1300"/>
        <w:gridCol w:w="1300"/>
        <w:gridCol w:w="1011"/>
      </w:tblGrid>
      <w:tr>
        <w:trPr>
          <w:cantSplit/>
          <w:jc w:val="center"/>
          <w:trHeight w:val="567"/>
        </w:trPr>
        <w:tc>
          <w:tcPr>
            <w:tcW w:w="767"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t xml:space="preserve">序号</w:t>
            </w:r>
            <w:r>
              <w:rPr>
                <w:color w:val="000000" w:themeColor="text1"/>
                <w:highlight w:val="none"/>
              </w:rPr>
            </w:r>
          </w:p>
        </w:tc>
        <w:tc>
          <w:tcPr>
            <w:tcBorders>
              <w:right w:val="single" w:color="auto" w:sz="4" w:space="0"/>
            </w:tcBorders>
            <w:tcW w:w="151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t xml:space="preserve">服务名称</w:t>
            </w:r>
            <w:r>
              <w:rPr>
                <w:color w:val="000000" w:themeColor="text1"/>
                <w:highlight w:val="none"/>
              </w:rPr>
            </w:r>
          </w:p>
        </w:tc>
        <w:tc>
          <w:tcPr>
            <w:tcBorders>
              <w:left w:val="single" w:color="auto" w:sz="4" w:space="0"/>
              <w:right w:val="single" w:color="auto" w:sz="4" w:space="0"/>
            </w:tcBorders>
            <w:tcW w:w="288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t xml:space="preserve">服务内容</w:t>
            </w:r>
            <w:r>
              <w:rPr>
                <w:color w:val="000000" w:themeColor="text1"/>
                <w:highlight w:val="none"/>
              </w:rPr>
            </w:r>
          </w:p>
        </w:tc>
        <w:tc>
          <w:tcPr>
            <w:tcBorders>
              <w:left w:val="single" w:color="auto" w:sz="4" w:space="0"/>
            </w:tcBorders>
            <w:tcW w:w="9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t xml:space="preserve">数量</w:t>
            </w:r>
            <w:r>
              <w:rPr>
                <w:color w:val="000000" w:themeColor="text1"/>
                <w:highlight w:val="none"/>
              </w:rPr>
            </w:r>
          </w:p>
        </w:tc>
        <w:tc>
          <w:tcPr>
            <w:tcBorders>
              <w:bottom w:val="single" w:color="auto" w:sz="4" w:space="0"/>
              <w:right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t xml:space="preserve">单价（元）</w:t>
            </w:r>
            <w:r>
              <w:rPr>
                <w:color w:val="000000" w:themeColor="text1"/>
                <w:highlight w:val="none"/>
              </w:rPr>
            </w:r>
          </w:p>
        </w:tc>
        <w:tc>
          <w:tcPr>
            <w:tcBorders>
              <w:left w:val="single" w:color="auto" w:sz="4" w:space="0"/>
              <w:bottom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t xml:space="preserve">总价（元）</w:t>
            </w:r>
            <w:r>
              <w:rPr>
                <w:color w:val="000000" w:themeColor="text1"/>
                <w:highlight w:val="none"/>
              </w:rPr>
            </w:r>
          </w:p>
        </w:tc>
        <w:tc>
          <w:tcPr>
            <w:tcBorders>
              <w:right w:val="single" w:color="auto" w:sz="4" w:space="0"/>
            </w:tcBorders>
            <w:tcW w:w="1011"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t xml:space="preserve">备注</w:t>
            </w:r>
            <w:r>
              <w:rPr>
                <w:color w:val="000000" w:themeColor="text1"/>
                <w:highlight w:val="none"/>
              </w:rPr>
            </w:r>
          </w:p>
        </w:tc>
      </w:tr>
      <w:tr>
        <w:trPr>
          <w:cantSplit/>
          <w:jc w:val="center"/>
          <w:trHeight w:val="567"/>
        </w:trPr>
        <w:tc>
          <w:tcPr>
            <w:tcW w:w="767"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51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right w:val="single" w:color="auto" w:sz="4" w:space="0"/>
            </w:tcBorders>
            <w:tcW w:w="288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tcBorders>
            <w:tcW w:w="9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top w:val="single" w:color="auto" w:sz="4" w:space="0"/>
              <w:right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top w:val="single" w:color="auto" w:sz="4" w:space="0"/>
              <w:left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011"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r>
      <w:tr>
        <w:trPr>
          <w:cantSplit/>
          <w:jc w:val="center"/>
          <w:trHeight w:val="567"/>
        </w:trPr>
        <w:tc>
          <w:tcPr>
            <w:tcW w:w="767"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51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right w:val="single" w:color="auto" w:sz="4" w:space="0"/>
            </w:tcBorders>
            <w:tcW w:w="288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tcBorders>
            <w:tcW w:w="9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011"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r>
      <w:tr>
        <w:trPr>
          <w:cantSplit/>
          <w:jc w:val="center"/>
          <w:trHeight w:val="567"/>
        </w:trPr>
        <w:tc>
          <w:tcPr>
            <w:tcW w:w="767"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51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right w:val="single" w:color="auto" w:sz="4" w:space="0"/>
            </w:tcBorders>
            <w:tcW w:w="288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tcBorders>
            <w:tcW w:w="9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011"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r>
      <w:tr>
        <w:trPr>
          <w:cantSplit/>
          <w:jc w:val="center"/>
          <w:trHeight w:val="567"/>
        </w:trPr>
        <w:tc>
          <w:tcPr>
            <w:tcW w:w="767"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51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right w:val="single" w:color="auto" w:sz="4" w:space="0"/>
            </w:tcBorders>
            <w:tcW w:w="288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tcBorders>
            <w:tcW w:w="9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left w:val="single" w:color="auto" w:sz="4" w:space="0"/>
            </w:tcBorders>
            <w:tcW w:w="1300"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c>
          <w:tcPr>
            <w:tcBorders>
              <w:right w:val="single" w:color="auto" w:sz="4" w:space="0"/>
            </w:tcBorders>
            <w:tcW w:w="1011"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r>
            <w:r>
              <w:rPr>
                <w:color w:val="000000" w:themeColor="text1"/>
                <w:highlight w:val="none"/>
              </w:rPr>
            </w:r>
          </w:p>
        </w:tc>
      </w:tr>
      <w:tr>
        <w:trPr>
          <w:cantSplit/>
          <w:jc w:val="center"/>
          <w:trHeight w:val="567"/>
        </w:trPr>
        <w:tc>
          <w:tcPr>
            <w:gridSpan w:val="2"/>
            <w:tcBorders>
              <w:bottom w:val="single" w:color="auto" w:sz="6" w:space="0"/>
              <w:right w:val="single" w:color="auto" w:sz="4" w:space="0"/>
            </w:tcBorders>
            <w:tcW w:w="2277"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t xml:space="preserve">磋商总报价（元）</w:t>
            </w:r>
            <w:r>
              <w:rPr>
                <w:color w:val="000000" w:themeColor="text1"/>
                <w:highlight w:val="none"/>
              </w:rPr>
            </w:r>
          </w:p>
        </w:tc>
        <w:tc>
          <w:tcPr>
            <w:gridSpan w:val="5"/>
            <w:tcBorders>
              <w:left w:val="single" w:color="auto" w:sz="4" w:space="0"/>
              <w:bottom w:val="single" w:color="auto" w:sz="6" w:space="0"/>
              <w:right w:val="single" w:color="auto" w:sz="4" w:space="0"/>
            </w:tcBorders>
            <w:tcW w:w="7391" w:type="dxa"/>
            <w:vAlign w:val="center"/>
            <w:textDirection w:val="lrTb"/>
            <w:noWrap w:val="false"/>
          </w:tcPr>
          <w:p>
            <w:pPr>
              <w:pStyle w:val="1009"/>
              <w:jc w:val="center"/>
              <w:rPr>
                <w:rFonts w:hint="eastAsia" w:hAnsi="宋体"/>
                <w:color w:val="000000" w:themeColor="text1"/>
                <w:sz w:val="24"/>
                <w:highlight w:val="none"/>
              </w:rPr>
            </w:pPr>
            <w:r>
              <w:rPr>
                <w:rFonts w:hint="eastAsia" w:hAnsi="宋体"/>
                <w:color w:val="000000" w:themeColor="text1"/>
                <w:sz w:val="24"/>
                <w:highlight w:val="none"/>
              </w:rPr>
              <w:t xml:space="preserve">人民币大写：</w:t>
            </w:r>
            <w:r>
              <w:rPr>
                <w:rFonts w:hint="eastAsia" w:hAnsi="宋体"/>
                <w:color w:val="000000" w:themeColor="text1"/>
                <w:sz w:val="24"/>
                <w:highlight w:val="none"/>
                <w:u w:val="single"/>
              </w:rPr>
              <w:t xml:space="preserve">                    </w:t>
            </w:r>
            <w:r>
              <w:rPr>
                <w:rFonts w:hint="eastAsia" w:hAnsi="宋体"/>
                <w:color w:val="000000" w:themeColor="text1"/>
                <w:sz w:val="24"/>
                <w:highlight w:val="none"/>
              </w:rPr>
              <w:t xml:space="preserve">（小写：</w:t>
            </w:r>
            <w:r>
              <w:rPr>
                <w:rFonts w:hint="eastAsia" w:hAnsi="宋体"/>
                <w:color w:val="000000" w:themeColor="text1"/>
                <w:sz w:val="24"/>
                <w:highlight w:val="none"/>
                <w:u w:val="single"/>
              </w:rPr>
              <w:t xml:space="preserve">               </w:t>
            </w:r>
            <w:r>
              <w:rPr>
                <w:rFonts w:hint="eastAsia" w:hAnsi="宋体"/>
                <w:color w:val="000000" w:themeColor="text1"/>
                <w:sz w:val="24"/>
                <w:highlight w:val="none"/>
              </w:rPr>
              <w:t xml:space="preserve">）</w:t>
            </w:r>
            <w:r>
              <w:rPr>
                <w:color w:val="000000" w:themeColor="text1"/>
                <w:highlight w:val="none"/>
              </w:rPr>
            </w:r>
          </w:p>
        </w:tc>
      </w:tr>
    </w:tbl>
    <w:p>
      <w:pPr>
        <w:pStyle w:val="995"/>
        <w:ind w:firstLine="240"/>
        <w:spacing w:line="48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r>
      <w:r>
        <w:rPr>
          <w:color w:val="000000" w:themeColor="text1"/>
          <w:highlight w:val="none"/>
        </w:rPr>
      </w:r>
    </w:p>
    <w:p>
      <w:pPr>
        <w:pStyle w:val="995"/>
        <w:spacing w:line="48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r>
      <w:r>
        <w:rPr>
          <w:color w:val="000000" w:themeColor="text1"/>
          <w:highlight w:val="none"/>
        </w:rPr>
      </w:r>
    </w:p>
    <w:p>
      <w:pPr>
        <w:pStyle w:val="995"/>
        <w:ind w:firstLine="600"/>
        <w:spacing w:line="48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供应商：（公章）</w:t>
      </w:r>
      <w:r>
        <w:rPr>
          <w:color w:val="000000" w:themeColor="text1"/>
          <w:highlight w:val="none"/>
        </w:rPr>
      </w:r>
    </w:p>
    <w:p>
      <w:pPr>
        <w:pStyle w:val="995"/>
        <w:ind w:firstLine="600"/>
        <w:spacing w:line="48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法定代表人或代理人：（签字或盖章）</w:t>
      </w:r>
      <w:r>
        <w:rPr>
          <w:color w:val="000000" w:themeColor="text1"/>
          <w:highlight w:val="none"/>
        </w:rPr>
      </w:r>
    </w:p>
    <w:p>
      <w:pPr>
        <w:pStyle w:val="995"/>
        <w:ind w:firstLine="600"/>
        <w:spacing w:line="480" w:lineRule="auto"/>
        <w:rPr>
          <w:rFonts w:hint="eastAsia" w:hAnsi="宋体" w:eastAsia="宋体"/>
          <w:b/>
          <w:color w:val="000000" w:themeColor="text1"/>
          <w:sz w:val="24"/>
          <w:szCs w:val="24"/>
          <w:highlight w:val="none"/>
        </w:rPr>
      </w:pPr>
      <w:r>
        <w:rPr>
          <w:rFonts w:hint="eastAsia" w:hAnsi="宋体" w:eastAsia="宋体"/>
          <w:color w:val="000000" w:themeColor="text1"/>
          <w:sz w:val="24"/>
          <w:szCs w:val="24"/>
          <w:highlight w:val="none"/>
        </w:rPr>
        <w:t xml:space="preserve">日期：   年   月   日</w:t>
      </w:r>
      <w:r>
        <w:rPr>
          <w:color w:val="000000" w:themeColor="text1"/>
          <w:highlight w:val="none"/>
        </w:rPr>
      </w:r>
    </w:p>
    <w:p>
      <w:pPr>
        <w:ind w:right="420" w:firstLine="46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Fonts w:hint="eastAsia" w:ascii="宋体" w:hAnsi="宋体" w:cs="宋体"/>
          <w:color w:val="000000" w:themeColor="text1"/>
          <w:sz w:val="24"/>
          <w:szCs w:val="24"/>
          <w:highlight w:val="none"/>
        </w:rPr>
      </w:pPr>
      <w:r>
        <w:rPr>
          <w:rFonts w:ascii="宋体" w:hAnsi="宋体" w:cs="宋体"/>
          <w:b/>
          <w:color w:val="000000" w:themeColor="text1"/>
          <w:sz w:val="24"/>
          <w:szCs w:val="24"/>
          <w:highlight w:val="none"/>
        </w:rPr>
        <w:br w:type="page" w:clear="all"/>
      </w:r>
      <w:r>
        <w:rPr>
          <w:color w:val="000000" w:themeColor="text1"/>
          <w:highlight w:val="none"/>
        </w:rPr>
      </w:r>
    </w:p>
    <w:p>
      <w:pPr>
        <w:ind w:right="825" w:firstLine="120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5、关于资格文件声明函</w:t>
      </w:r>
      <w:r>
        <w:rPr>
          <w:color w:val="000000" w:themeColor="text1"/>
          <w:highlight w:val="none"/>
        </w:rPr>
      </w:r>
    </w:p>
    <w:p>
      <w:pPr>
        <w:ind w:firstLine="425"/>
        <w:jc w:val="cente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关于资格文件的声明函</w:t>
      </w:r>
      <w:r>
        <w:rPr>
          <w:color w:val="000000" w:themeColor="text1"/>
          <w:highlight w:val="none"/>
        </w:rPr>
      </w:r>
    </w:p>
    <w:p>
      <w:pPr>
        <w:ind w:firstLine="425"/>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 </w:t>
      </w:r>
      <w:r>
        <w:rPr>
          <w:rFonts w:hint="eastAsia" w:ascii="宋体" w:hAnsi="宋体" w:cs="宋体"/>
          <w:color w:val="000000" w:themeColor="text1"/>
          <w:sz w:val="24"/>
          <w:szCs w:val="24"/>
          <w:highlight w:val="none"/>
          <w:u w:val="single"/>
          <w:lang w:val="zh-CN"/>
        </w:rPr>
        <w:t xml:space="preserve">                                    </w:t>
      </w:r>
      <w:r>
        <w:rPr>
          <w:rFonts w:hint="eastAsia" w:ascii="宋体" w:hAnsi="宋体" w:cs="宋体"/>
          <w:color w:val="000000" w:themeColor="text1"/>
          <w:sz w:val="24"/>
          <w:szCs w:val="24"/>
          <w:highlight w:val="none"/>
          <w:lang w:val="zh-CN"/>
        </w:rPr>
        <w:t xml:space="preserve">：</w:t>
      </w:r>
      <w:r>
        <w:rPr>
          <w:color w:val="000000" w:themeColor="text1"/>
          <w:highlight w:val="none"/>
        </w:rPr>
      </w:r>
    </w:p>
    <w:p>
      <w:pPr>
        <w:ind w:firstLine="6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本公司愿就由贵公司组织实施的编号为</w:t>
      </w:r>
      <w:r>
        <w:rPr>
          <w:rFonts w:hint="eastAsia" w:ascii="宋体" w:hAnsi="宋体" w:cs="宋体"/>
          <w:color w:val="000000" w:themeColor="text1"/>
          <w:sz w:val="24"/>
          <w:szCs w:val="24"/>
          <w:highlight w:val="none"/>
          <w:u w:val="single"/>
          <w:lang w:val="zh-CN"/>
        </w:rPr>
        <w:t xml:space="preserve">              </w:t>
      </w:r>
      <w:r>
        <w:rPr>
          <w:rFonts w:hint="eastAsia" w:ascii="宋体" w:hAnsi="宋体" w:cs="宋体"/>
          <w:color w:val="000000" w:themeColor="text1"/>
          <w:sz w:val="24"/>
          <w:szCs w:val="24"/>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p>
    <w:p>
      <w:pPr>
        <w:ind w:firstLine="42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5"/>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 </w:t>
      </w:r>
      <w:r>
        <w:rPr>
          <w:rFonts w:hint="eastAsia" w:ascii="宋体" w:hAnsi="宋体" w:cs="宋体"/>
          <w:color w:val="000000" w:themeColor="text1"/>
          <w:sz w:val="24"/>
          <w:szCs w:val="24"/>
          <w:highlight w:val="none"/>
          <w:lang w:val="zh-CN"/>
        </w:rPr>
        <w:tab/>
      </w:r>
      <w:r>
        <w:rPr>
          <w:rFonts w:hint="eastAsia" w:ascii="宋体" w:hAnsi="宋体" w:cs="宋体"/>
          <w:color w:val="000000" w:themeColor="text1"/>
          <w:sz w:val="24"/>
          <w:szCs w:val="24"/>
          <w:highlight w:val="none"/>
          <w:lang w:val="zh-CN"/>
        </w:rPr>
        <w:tab/>
      </w:r>
      <w:r>
        <w:rPr>
          <w:rFonts w:hint="eastAsia" w:ascii="宋体" w:hAnsi="宋体" w:cs="宋体"/>
          <w:color w:val="000000" w:themeColor="text1"/>
          <w:sz w:val="24"/>
          <w:szCs w:val="24"/>
          <w:highlight w:val="none"/>
          <w:lang w:val="zh-CN"/>
        </w:rPr>
        <w:tab/>
      </w:r>
      <w:r>
        <w:rPr>
          <w:rFonts w:hint="eastAsia" w:ascii="宋体" w:hAnsi="宋体" w:cs="宋体"/>
          <w:color w:val="000000" w:themeColor="text1"/>
          <w:sz w:val="24"/>
          <w:szCs w:val="24"/>
          <w:highlight w:val="none"/>
          <w:lang w:val="zh-CN"/>
        </w:rPr>
        <w:tab/>
        <w:t xml:space="preserve"> </w:t>
      </w:r>
      <w:r>
        <w:rPr>
          <w:color w:val="000000" w:themeColor="text1"/>
          <w:highlight w:val="none"/>
        </w:rPr>
      </w:r>
    </w:p>
    <w:tbl>
      <w:tblPr>
        <w:tblStyle w:val="847"/>
        <w:tblW w:w="0" w:type="auto"/>
        <w:tblInd w:w="393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86"/>
      </w:tblGrid>
      <w:tr>
        <w:trPr/>
        <w:tc>
          <w:tcPr>
            <w:tcW w:w="4586" w:type="dxa"/>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投标单位法定代表人：（签字或盖章）</w:t>
            </w:r>
            <w:r>
              <w:rPr>
                <w:color w:val="000000" w:themeColor="text1"/>
                <w:highlight w:val="none"/>
              </w:rPr>
            </w:r>
          </w:p>
        </w:tc>
      </w:tr>
      <w:tr>
        <w:trPr/>
        <w:tc>
          <w:tcPr>
            <w:tcW w:w="4586" w:type="dxa"/>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投标单位：（公章）</w:t>
            </w:r>
            <w:r>
              <w:rPr>
                <w:color w:val="000000" w:themeColor="text1"/>
                <w:highlight w:val="none"/>
              </w:rPr>
            </w:r>
          </w:p>
        </w:tc>
      </w:tr>
      <w:tr>
        <w:trPr/>
        <w:tc>
          <w:tcPr>
            <w:tcW w:w="4586" w:type="dxa"/>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日    期：    年</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lang w:val="zh-CN"/>
              </w:rPr>
              <w:t xml:space="preserve"> 月 </w:t>
            </w:r>
            <w:r>
              <w:rPr>
                <w:rFonts w:hint="eastAsia" w:ascii="宋体" w:hAnsi="宋体" w:cs="宋体"/>
                <w:color w:val="000000" w:themeColor="text1"/>
                <w:sz w:val="24"/>
                <w:szCs w:val="24"/>
                <w:highlight w:val="none"/>
                <w:lang w:val="zh-CN"/>
              </w:rPr>
              <w:tab/>
              <w:t xml:space="preserve">日</w:t>
            </w:r>
            <w:r>
              <w:rPr>
                <w:color w:val="000000" w:themeColor="text1"/>
                <w:highlight w:val="none"/>
              </w:rPr>
            </w:r>
          </w:p>
        </w:tc>
      </w:tr>
    </w:tbl>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br w:type="page" w:clear="all"/>
      </w:r>
      <w:r>
        <w:rPr>
          <w:rFonts w:hint="eastAsia" w:ascii="宋体" w:hAnsi="宋体" w:cs="宋体"/>
          <w:color w:val="000000" w:themeColor="text1"/>
          <w:sz w:val="24"/>
          <w:szCs w:val="24"/>
          <w:highlight w:val="none"/>
        </w:rPr>
        <w:t xml:space="preserve">6、企业情况表</w:t>
      </w:r>
      <w:r>
        <w:rPr>
          <w:color w:val="000000" w:themeColor="text1"/>
          <w:highlight w:val="none"/>
        </w:rPr>
      </w:r>
    </w:p>
    <w:p>
      <w:pPr>
        <w:ind w:firstLine="637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单位名称（盖章）</w:t>
      </w:r>
      <w:r>
        <w:rPr>
          <w:color w:val="000000" w:themeColor="text1"/>
          <w:highlight w:val="none"/>
        </w:rPr>
      </w:r>
    </w:p>
    <w:tbl>
      <w:tblPr>
        <w:tblW w:w="0" w:type="auto"/>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3077"/>
        <w:gridCol w:w="2005"/>
        <w:gridCol w:w="1461"/>
        <w:gridCol w:w="2056"/>
        <w:gridCol w:w="1236"/>
      </w:tblGrid>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w:t>
            </w:r>
            <w:r>
              <w:rPr>
                <w:color w:val="000000" w:themeColor="text1"/>
                <w:highlight w:val="none"/>
              </w:rPr>
            </w:r>
          </w:p>
        </w:tc>
        <w:tc>
          <w:tcPr>
            <w:tcW w:w="2005"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61"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成立日期</w:t>
            </w:r>
            <w:r>
              <w:rPr>
                <w:color w:val="000000" w:themeColor="text1"/>
                <w:highlight w:val="none"/>
              </w:rPr>
            </w:r>
          </w:p>
        </w:tc>
        <w:tc>
          <w:tcPr>
            <w:gridSpan w:val="2"/>
            <w:tcW w:w="3292"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企业地址</w:t>
            </w:r>
            <w:r>
              <w:rPr>
                <w:color w:val="000000" w:themeColor="text1"/>
                <w:highlight w:val="none"/>
              </w:rPr>
            </w:r>
          </w:p>
        </w:tc>
        <w:tc>
          <w:tcPr>
            <w:tcW w:w="2005"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461"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注册资本</w:t>
            </w:r>
            <w:r>
              <w:rPr>
                <w:color w:val="000000" w:themeColor="text1"/>
                <w:highlight w:val="none"/>
              </w:rPr>
            </w:r>
          </w:p>
        </w:tc>
        <w:tc>
          <w:tcPr>
            <w:gridSpan w:val="2"/>
            <w:tcW w:w="3292" w:type="dxa"/>
            <w:textDirection w:val="lrTb"/>
            <w:noWrap w:val="false"/>
          </w:tcPr>
          <w:p>
            <w:pPr>
              <w:ind w:firstLine="216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万元</w:t>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经营范围</w:t>
            </w:r>
            <w:r>
              <w:rPr>
                <w:color w:val="000000" w:themeColor="text1"/>
                <w:highlight w:val="none"/>
              </w:rPr>
            </w:r>
          </w:p>
        </w:tc>
        <w:tc>
          <w:tcPr>
            <w:gridSpan w:val="4"/>
            <w:tcW w:w="6758"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职工人数</w:t>
            </w:r>
            <w:r>
              <w:rPr>
                <w:color w:val="000000" w:themeColor="text1"/>
                <w:highlight w:val="none"/>
              </w:rPr>
            </w:r>
          </w:p>
        </w:tc>
        <w:tc>
          <w:tcPr>
            <w:tcW w:w="2005"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gridSpan w:val="2"/>
            <w:tcW w:w="351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其中：有中高级以上职称的人数</w:t>
            </w:r>
            <w:r>
              <w:rPr>
                <w:color w:val="000000" w:themeColor="text1"/>
                <w:highlight w:val="none"/>
              </w:rPr>
            </w:r>
          </w:p>
        </w:tc>
        <w:tc>
          <w:tcPr>
            <w:tcW w:w="1236"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Pr>
        <w:tc>
          <w:tcPr>
            <w:tcW w:w="3077"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资产总计</w:t>
            </w:r>
            <w:r>
              <w:rPr>
                <w:color w:val="000000" w:themeColor="text1"/>
                <w:highlight w:val="none"/>
              </w:rPr>
            </w:r>
          </w:p>
        </w:tc>
        <w:tc>
          <w:tcPr>
            <w:tcW w:w="200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万元</w:t>
            </w:r>
            <w:r>
              <w:rPr>
                <w:color w:val="000000" w:themeColor="text1"/>
                <w:highlight w:val="none"/>
              </w:rPr>
            </w:r>
          </w:p>
        </w:tc>
        <w:tc>
          <w:tcPr>
            <w:tcW w:w="1461"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净资产</w:t>
            </w:r>
            <w:r>
              <w:rPr>
                <w:color w:val="000000" w:themeColor="text1"/>
                <w:highlight w:val="none"/>
              </w:rPr>
            </w:r>
          </w:p>
        </w:tc>
        <w:tc>
          <w:tcPr>
            <w:gridSpan w:val="2"/>
            <w:tcW w:w="329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万元</w:t>
            </w:r>
            <w:r>
              <w:rPr>
                <w:color w:val="000000" w:themeColor="text1"/>
                <w:highlight w:val="none"/>
              </w:rPr>
            </w:r>
          </w:p>
        </w:tc>
      </w:tr>
      <w:tr>
        <w:trPr>
          <w:cantSplit/>
        </w:trPr>
        <w:tc>
          <w:tcPr>
            <w:tcW w:w="3077"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股东权益</w:t>
            </w:r>
            <w:r>
              <w:rPr>
                <w:color w:val="000000" w:themeColor="text1"/>
                <w:highlight w:val="none"/>
              </w:rPr>
            </w:r>
          </w:p>
        </w:tc>
        <w:tc>
          <w:tcPr>
            <w:tcW w:w="200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万元</w:t>
            </w:r>
            <w:r>
              <w:rPr>
                <w:color w:val="000000" w:themeColor="text1"/>
                <w:highlight w:val="none"/>
              </w:rPr>
            </w:r>
          </w:p>
        </w:tc>
        <w:tc>
          <w:tcPr>
            <w:tcW w:w="1461"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销售收入</w:t>
            </w:r>
            <w:r>
              <w:rPr>
                <w:color w:val="000000" w:themeColor="text1"/>
                <w:highlight w:val="none"/>
              </w:rPr>
            </w:r>
          </w:p>
        </w:tc>
        <w:tc>
          <w:tcPr>
            <w:gridSpan w:val="2"/>
            <w:tcW w:w="329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w:t>
            </w: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年          万元</w:t>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实现利润</w:t>
            </w:r>
            <w:r>
              <w:rPr>
                <w:color w:val="000000" w:themeColor="text1"/>
                <w:highlight w:val="none"/>
              </w:rPr>
            </w:r>
          </w:p>
        </w:tc>
        <w:tc>
          <w:tcPr>
            <w:tcW w:w="2005" w:type="dxa"/>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年   万元</w:t>
            </w:r>
            <w:r>
              <w:rPr>
                <w:color w:val="000000" w:themeColor="text1"/>
                <w:highlight w:val="none"/>
              </w:rPr>
            </w:r>
          </w:p>
        </w:tc>
        <w:tc>
          <w:tcPr>
            <w:tcW w:w="1461"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gridSpan w:val="2"/>
            <w:tcW w:w="3292"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营业面积（含厂房面积）</w:t>
            </w:r>
            <w:r>
              <w:rPr>
                <w:color w:val="000000" w:themeColor="text1"/>
                <w:highlight w:val="none"/>
              </w:rPr>
            </w:r>
          </w:p>
        </w:tc>
        <w:tc>
          <w:tcPr>
            <w:tcW w:w="2005"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平方米</w:t>
            </w:r>
            <w:r>
              <w:rPr>
                <w:color w:val="000000" w:themeColor="text1"/>
                <w:highlight w:val="none"/>
              </w:rPr>
            </w:r>
          </w:p>
        </w:tc>
        <w:tc>
          <w:tcPr>
            <w:tcW w:w="1461"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其中：</w:t>
            </w:r>
            <w:r>
              <w:rPr>
                <w:color w:val="000000" w:themeColor="text1"/>
                <w:highlight w:val="none"/>
              </w:rPr>
            </w:r>
          </w:p>
        </w:tc>
        <w:tc>
          <w:tcPr>
            <w:gridSpan w:val="2"/>
            <w:tcW w:w="3292"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自有面积         平方米</w:t>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承租面积         平方米</w:t>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单位简历及内设机构情况</w:t>
            </w:r>
            <w:r>
              <w:rPr>
                <w:color w:val="000000" w:themeColor="text1"/>
                <w:highlight w:val="none"/>
              </w:rPr>
            </w:r>
          </w:p>
        </w:tc>
        <w:tc>
          <w:tcPr>
            <w:gridSpan w:val="4"/>
            <w:tcW w:w="6758"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单位优势及特长</w:t>
            </w:r>
            <w:r>
              <w:rPr>
                <w:color w:val="000000" w:themeColor="text1"/>
                <w:highlight w:val="none"/>
              </w:rPr>
            </w:r>
          </w:p>
        </w:tc>
        <w:tc>
          <w:tcPr>
            <w:gridSpan w:val="4"/>
            <w:tcW w:w="6758"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近三年来完成或正在履行的重大合同情况</w:t>
            </w:r>
            <w:r>
              <w:rPr>
                <w:color w:val="000000" w:themeColor="text1"/>
                <w:highlight w:val="none"/>
              </w:rPr>
            </w:r>
          </w:p>
        </w:tc>
        <w:tc>
          <w:tcPr>
            <w:gridSpan w:val="4"/>
            <w:tcW w:w="6758"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最近2年内在经营过程中受到何种奖励或处分</w:t>
            </w:r>
            <w:r>
              <w:rPr>
                <w:color w:val="000000" w:themeColor="text1"/>
                <w:highlight w:val="none"/>
              </w:rPr>
            </w:r>
          </w:p>
        </w:tc>
        <w:tc>
          <w:tcPr>
            <w:gridSpan w:val="4"/>
            <w:tcW w:w="6758"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（包括财政、工商、税务、物价、技监部门稽查情况和结果）</w:t>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最近3年内有无因售假、售劣或是其他原因被消费者投诉或起诉的情况及说明</w:t>
            </w:r>
            <w:r>
              <w:rPr>
                <w:color w:val="000000" w:themeColor="text1"/>
                <w:highlight w:val="none"/>
              </w:rPr>
            </w:r>
          </w:p>
        </w:tc>
        <w:tc>
          <w:tcPr>
            <w:gridSpan w:val="4"/>
            <w:tcW w:w="6758"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（包括解决方式和结果）</w:t>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最近3年内主要负责人有无因经济犯罪被司法机关追究的情况及说明</w:t>
            </w:r>
            <w:r>
              <w:rPr>
                <w:color w:val="000000" w:themeColor="text1"/>
                <w:highlight w:val="none"/>
              </w:rPr>
            </w:r>
          </w:p>
        </w:tc>
        <w:tc>
          <w:tcPr>
            <w:gridSpan w:val="4"/>
            <w:tcW w:w="6758"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获得技术认证的工程师及简介</w:t>
            </w:r>
            <w:r>
              <w:rPr>
                <w:color w:val="000000" w:themeColor="text1"/>
                <w:highlight w:val="none"/>
              </w:rPr>
            </w:r>
          </w:p>
        </w:tc>
        <w:tc>
          <w:tcPr>
            <w:gridSpan w:val="4"/>
            <w:tcW w:w="6758"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60"/>
        </w:trPr>
        <w:tc>
          <w:tcPr>
            <w:tcW w:w="3077"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其他需要说明的情况</w:t>
            </w:r>
            <w:r>
              <w:rPr>
                <w:color w:val="000000" w:themeColor="text1"/>
                <w:highlight w:val="none"/>
              </w:rPr>
            </w:r>
          </w:p>
        </w:tc>
        <w:tc>
          <w:tcPr>
            <w:gridSpan w:val="4"/>
            <w:tcW w:w="6758"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keepLines/>
        <w:keepNext/>
        <w:spacing w:line="360" w:lineRule="auto"/>
        <w:rPr>
          <w:rFonts w:hint="eastAsia"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t xml:space="preserve">7、偏离表</w:t>
      </w:r>
      <w:r>
        <w:rPr>
          <w:color w:val="000000" w:themeColor="text1"/>
          <w:highlight w:val="none"/>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7.1</w:t>
      </w:r>
      <w:r>
        <w:rPr>
          <w:rFonts w:hint="eastAsia" w:ascii="宋体" w:hAnsi="宋体" w:cs="宋体"/>
          <w:b/>
          <w:color w:val="000000" w:themeColor="text1"/>
          <w:sz w:val="24"/>
          <w:szCs w:val="24"/>
          <w:highlight w:val="none"/>
        </w:rPr>
        <w:t xml:space="preserve">服务要求偏离表</w:t>
      </w:r>
      <w:r>
        <w:rPr>
          <w:color w:val="000000" w:themeColor="text1"/>
          <w:highlight w:val="none"/>
        </w:rPr>
      </w:r>
    </w:p>
    <w:p>
      <w:pPr>
        <w:jc w:val="cente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服务要求偏离表</w:t>
      </w:r>
      <w:r>
        <w:rPr>
          <w:color w:val="000000" w:themeColor="text1"/>
          <w:highlight w:val="none"/>
        </w:rPr>
      </w:r>
    </w:p>
    <w:p>
      <w:pPr>
        <w:ind w:firstLine="720"/>
        <w:spacing w:line="380" w:lineRule="exact"/>
        <w:rPr>
          <w:rFonts w:hint="eastAsia" w:ascii="宋体" w:hAnsi="宋体"/>
          <w:b/>
          <w:color w:val="000000" w:themeColor="text1"/>
          <w:spacing w:val="20"/>
          <w:sz w:val="24"/>
          <w:szCs w:val="24"/>
          <w:highlight w:val="none"/>
        </w:rPr>
      </w:pPr>
      <w:r>
        <w:rPr>
          <w:rFonts w:hint="eastAsia" w:ascii="宋体" w:hAnsi="宋体"/>
          <w:color w:val="000000" w:themeColor="text1"/>
          <w:sz w:val="24"/>
          <w:szCs w:val="24"/>
          <w:highlight w:val="none"/>
        </w:rPr>
        <w:t xml:space="preserve">供应商</w:t>
      </w:r>
      <w:r>
        <w:rPr>
          <w:rFonts w:hint="eastAsia" w:ascii="宋体" w:hAnsi="宋体"/>
          <w:color w:val="000000" w:themeColor="text1"/>
          <w:sz w:val="24"/>
          <w:szCs w:val="24"/>
          <w:highlight w:val="none"/>
          <w:lang w:val="zh-CN"/>
        </w:rPr>
        <w:t xml:space="preserve">：               </w:t>
      </w: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lang w:val="zh-CN"/>
        </w:rPr>
        <w:t xml:space="preserve">采购编号</w:t>
      </w:r>
      <w:r>
        <w:rPr>
          <w:rFonts w:hint="eastAsia" w:ascii="宋体" w:hAnsi="宋体" w:cs="宋体"/>
          <w:color w:val="000000" w:themeColor="text1"/>
          <w:sz w:val="24"/>
          <w:szCs w:val="24"/>
          <w:highlight w:val="none"/>
          <w:lang w:val="zh-CN"/>
        </w:rPr>
        <w:t xml:space="preserve">∶</w:t>
      </w:r>
      <w:r>
        <w:rPr>
          <w:color w:val="000000" w:themeColor="text1"/>
          <w:highlight w:val="none"/>
        </w:rPr>
      </w:r>
    </w:p>
    <w:tbl>
      <w:tblPr>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737"/>
        </w:trPr>
        <w:tc>
          <w:tcPr>
            <w:tcW w:w="958"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p>
        </w:tc>
        <w:tc>
          <w:tcPr>
            <w:tcW w:w="1683" w:type="dxa"/>
            <w:vAlign w:val="center"/>
            <w:textDirection w:val="lrTb"/>
            <w:noWrap w:val="false"/>
          </w:tcPr>
          <w:p>
            <w:pPr>
              <w:pStyle w:val="811"/>
              <w:ind w:left="54" w:firstLine="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w:t>
            </w:r>
            <w:r>
              <w:rPr>
                <w:color w:val="000000" w:themeColor="text1"/>
                <w:highlight w:val="none"/>
              </w:rPr>
            </w:r>
          </w:p>
        </w:tc>
        <w:tc>
          <w:tcPr>
            <w:tcW w:w="2051" w:type="dxa"/>
            <w:vAlign w:val="center"/>
            <w:textDirection w:val="lrTb"/>
            <w:noWrap w:val="false"/>
          </w:tcPr>
          <w:p>
            <w:pPr>
              <w:pStyle w:val="811"/>
              <w:ind w:firstLine="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要求</w:t>
            </w:r>
            <w:r>
              <w:rPr>
                <w:color w:val="000000" w:themeColor="text1"/>
                <w:highlight w:val="none"/>
              </w:rPr>
            </w:r>
          </w:p>
        </w:tc>
        <w:tc>
          <w:tcPr>
            <w:tcW w:w="2052" w:type="dxa"/>
            <w:vAlign w:val="center"/>
            <w:textDirection w:val="lrTb"/>
            <w:noWrap w:val="false"/>
          </w:tcPr>
          <w:p>
            <w:pPr>
              <w:pStyle w:val="811"/>
              <w:ind w:firstLine="0"/>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响应情况</w:t>
            </w:r>
            <w:r>
              <w:rPr>
                <w:color w:val="000000" w:themeColor="text1"/>
                <w:highlight w:val="none"/>
              </w:rPr>
            </w:r>
          </w:p>
        </w:tc>
        <w:tc>
          <w:tcPr>
            <w:tcW w:w="2052" w:type="dxa"/>
            <w:vAlign w:val="center"/>
            <w:textDirection w:val="lrTb"/>
            <w:noWrap w:val="false"/>
          </w:tcPr>
          <w:p>
            <w:pPr>
              <w:pStyle w:val="811"/>
              <w:ind w:firstLine="0"/>
              <w:jc w:val="center"/>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偏离说明</w:t>
            </w:r>
            <w:r>
              <w:rPr>
                <w:color w:val="000000" w:themeColor="text1"/>
                <w:highlight w:val="none"/>
              </w:rPr>
            </w:r>
          </w:p>
        </w:tc>
      </w:tr>
      <w:tr>
        <w:trPr>
          <w:jc w:val="center"/>
          <w:trHeight w:val="737"/>
        </w:trPr>
        <w:tc>
          <w:tcPr>
            <w:tcW w:w="958"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p>
        </w:tc>
        <w:tc>
          <w:tcPr>
            <w:tcW w:w="1683"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051"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052"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052"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jc w:val="center"/>
          <w:trHeight w:val="737"/>
        </w:trPr>
        <w:tc>
          <w:tcPr>
            <w:tcW w:w="958"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p>
        </w:tc>
        <w:tc>
          <w:tcPr>
            <w:tcW w:w="1683"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051"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052"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052"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jc w:val="center"/>
          <w:trHeight w:val="737"/>
        </w:trPr>
        <w:tc>
          <w:tcPr>
            <w:tcW w:w="958"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color w:val="000000" w:themeColor="text1"/>
                <w:highlight w:val="none"/>
              </w:rPr>
            </w:r>
          </w:p>
        </w:tc>
        <w:tc>
          <w:tcPr>
            <w:tcW w:w="1683"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051"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052"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2052" w:type="dxa"/>
            <w:vAlign w:val="center"/>
            <w:textDirection w:val="lrTb"/>
            <w:noWrap w:val="false"/>
          </w:tcPr>
          <w:p>
            <w:pPr>
              <w:pStyle w:val="811"/>
              <w:ind w:firstLine="799"/>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bl>
    <w:p>
      <w:pPr>
        <w:spacing w:line="360" w:lineRule="auto"/>
        <w:rPr>
          <w:rFonts w:hint="eastAsia"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r>
      <w:r>
        <w:rPr>
          <w:color w:val="000000" w:themeColor="text1"/>
          <w:highlight w:val="none"/>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注：1、投标人应对照招标文件技术要求等要求，所投标的物与招标文件的规定有偏离的，应在此表中申明与技术要求条文的偏差和例外。</w:t>
      </w:r>
      <w:r>
        <w:rPr>
          <w:color w:val="000000" w:themeColor="text1"/>
          <w:highlight w:val="none"/>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2、未在上表中说明的，如在响应文件其他内容中已有文字说明的，则以已有文字说明为准，否则，将被认为完全响应招标文件的规定。但该表不作为投标人对所投标的物关于技术要求等详细描述和说明的替代。</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7.2、商务条款偏离表</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单位名称（盖章）：</w:t>
      </w:r>
      <w:r>
        <w:rPr>
          <w:color w:val="000000" w:themeColor="text1"/>
          <w:highlight w:val="none"/>
        </w:rP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1920" w:type="dxa"/>
            <w:textDirection w:val="lrTb"/>
            <w:noWrap w:val="false"/>
          </w:tcPr>
          <w:p>
            <w:pPr>
              <w:jc w:val="cente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招标文件条目号</w:t>
            </w:r>
            <w:r>
              <w:rPr>
                <w:color w:val="000000" w:themeColor="text1"/>
                <w:highlight w:val="none"/>
              </w:rPr>
            </w:r>
          </w:p>
        </w:tc>
        <w:tc>
          <w:tcPr>
            <w:tcW w:w="2400" w:type="dxa"/>
            <w:textDirection w:val="lrTb"/>
            <w:noWrap w:val="false"/>
          </w:tcPr>
          <w:p>
            <w:pPr>
              <w:jc w:val="cente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招标文件的商务条款</w:t>
            </w:r>
            <w:r>
              <w:rPr>
                <w:color w:val="000000" w:themeColor="text1"/>
                <w:highlight w:val="none"/>
              </w:rPr>
            </w:r>
          </w:p>
        </w:tc>
        <w:tc>
          <w:tcPr>
            <w:tcW w:w="2400" w:type="dxa"/>
            <w:textDirection w:val="lrTb"/>
            <w:noWrap w:val="false"/>
          </w:tcPr>
          <w:p>
            <w:pPr>
              <w:jc w:val="cente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投标文件的商务条款</w:t>
            </w:r>
            <w:r>
              <w:rPr>
                <w:color w:val="000000" w:themeColor="text1"/>
                <w:highlight w:val="none"/>
              </w:rPr>
            </w:r>
          </w:p>
        </w:tc>
        <w:tc>
          <w:tcPr>
            <w:tcW w:w="1097" w:type="dxa"/>
            <w:textDirection w:val="lrTb"/>
            <w:noWrap w:val="false"/>
          </w:tcPr>
          <w:p>
            <w:pPr>
              <w:jc w:val="cente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w:t>
            </w:r>
            <w:r>
              <w:rPr>
                <w:color w:val="000000" w:themeColor="text1"/>
                <w:highlight w:val="none"/>
              </w:rPr>
            </w:r>
          </w:p>
        </w:tc>
      </w:tr>
      <w:tr>
        <w:trPr>
          <w:jc w:val="center"/>
        </w:trPr>
        <w:tc>
          <w:tcPr>
            <w:tcW w:w="708"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1920" w:type="dxa"/>
            <w:vAlign w:val="center"/>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Cs w:val="21"/>
                <w:highlight w:val="none"/>
                <w:lang w:val="zh-CN"/>
              </w:rPr>
              <w:t xml:space="preserve">服务期限</w:t>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097"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jc w:val="center"/>
        </w:trPr>
        <w:tc>
          <w:tcPr>
            <w:tcW w:w="708"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1920" w:type="dxa"/>
            <w:vAlign w:val="center"/>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Cs w:val="21"/>
                <w:highlight w:val="none"/>
                <w:lang w:val="zh-CN"/>
              </w:rPr>
              <w:t xml:space="preserve">付款方式</w:t>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097"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jc w:val="center"/>
        </w:trPr>
        <w:tc>
          <w:tcPr>
            <w:tcW w:w="708"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W w:w="1920" w:type="dxa"/>
            <w:vAlign w:val="center"/>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服务地点</w:t>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097"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jc w:val="center"/>
        </w:trPr>
        <w:tc>
          <w:tcPr>
            <w:tcW w:w="708"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920" w:type="dxa"/>
            <w:vAlign w:val="center"/>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097"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jc w:val="center"/>
        </w:trPr>
        <w:tc>
          <w:tcPr>
            <w:tcW w:w="708"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920" w:type="dxa"/>
            <w:vAlign w:val="center"/>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Cs w:val="21"/>
                <w:highlight w:val="none"/>
                <w:lang w:val="zh-CN"/>
              </w:rPr>
              <w:t xml:space="preserve">其他商务要求</w:t>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400"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097" w:type="dxa"/>
            <w:textDirection w:val="lrTb"/>
            <w:noWrap w:val="false"/>
          </w:tcPr>
          <w:p>
            <w:pPr>
              <w:spacing w:before="240" w:after="24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8、项目服务人员配置表</w:t>
      </w:r>
      <w:r>
        <w:rPr>
          <w:color w:val="000000" w:themeColor="text1"/>
          <w:highlight w:val="none"/>
        </w:rPr>
      </w:r>
    </w:p>
    <w:p>
      <w:pPr>
        <w:jc w:val="cente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项目服务人员配置表</w:t>
      </w:r>
      <w:r>
        <w:rPr>
          <w:color w:val="000000" w:themeColor="text1"/>
          <w:highlight w:val="none"/>
        </w:rPr>
      </w:r>
    </w:p>
    <w:p>
      <w:pPr>
        <w:pStyle w:val="747"/>
        <w:ind w:left="400"/>
        <w:rPr>
          <w:color w:val="000000" w:themeColor="text1"/>
          <w:highlight w:val="none"/>
        </w:rPr>
      </w:pPr>
      <w:r>
        <w:rPr>
          <w:color w:val="000000" w:themeColor="text1"/>
          <w:highlight w:val="none"/>
        </w:rPr>
      </w:r>
      <w:r>
        <w:rPr>
          <w:color w:val="000000" w:themeColor="text1"/>
          <w:highlight w:val="none"/>
        </w:rPr>
      </w:r>
    </w:p>
    <w:tbl>
      <w:tblPr>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5"/>
        <w:gridCol w:w="2079"/>
        <w:gridCol w:w="1558"/>
        <w:gridCol w:w="1133"/>
        <w:gridCol w:w="1133"/>
        <w:gridCol w:w="1275"/>
        <w:gridCol w:w="991"/>
        <w:gridCol w:w="991"/>
      </w:tblGrid>
      <w:tr>
        <w:trPr>
          <w:jc w:val="center"/>
          <w:trHeight w:val="76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岗位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姓名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性别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年龄</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学历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职称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bl>
    <w:p>
      <w:pPr>
        <w:jc w:val="left"/>
        <w:spacing w:line="360" w:lineRule="auto"/>
        <w:rPr>
          <w:rFonts w:ascii="Times New Roman" w:hAnsi="Times New Roman"/>
          <w:color w:val="000000" w:themeColor="text1"/>
          <w:sz w:val="24"/>
          <w:szCs w:val="24"/>
          <w:highlight w:val="none"/>
        </w:rPr>
      </w:pPr>
      <w:r>
        <w:rPr>
          <w:rFonts w:hint="eastAsia" w:ascii="宋体" w:hAnsi="宋体"/>
          <w:color w:val="000000" w:themeColor="text1"/>
          <w:sz w:val="24"/>
          <w:szCs w:val="24"/>
          <w:highlight w:val="none"/>
        </w:rPr>
        <w:t xml:space="preserve">注：</w:t>
      </w:r>
      <w:r>
        <w:rPr>
          <w:rFonts w:hint="eastAsia" w:ascii="Times New Roman" w:hAnsi="Times New Roman"/>
          <w:color w:val="000000" w:themeColor="text1"/>
          <w:sz w:val="24"/>
          <w:szCs w:val="24"/>
          <w:highlight w:val="none"/>
        </w:rPr>
        <w:t xml:space="preserve">若事项较多，供应商可根据实际情况另纸说明。</w:t>
      </w:r>
      <w:r>
        <w:rPr>
          <w:color w:val="000000" w:themeColor="text1"/>
          <w:highlight w:val="none"/>
        </w:rPr>
      </w:r>
    </w:p>
    <w:p>
      <w:pPr>
        <w:ind w:firstLine="480"/>
        <w:jc w:val="left"/>
        <w:spacing w:line="360" w:lineRule="auto"/>
        <w:rPr>
          <w:rFonts w:hint="eastAsia" w:ascii="Times New Roman" w:hAnsi="宋体"/>
          <w:color w:val="000000" w:themeColor="text1"/>
          <w:sz w:val="24"/>
          <w:szCs w:val="24"/>
          <w:highlight w:val="none"/>
        </w:rPr>
      </w:pPr>
      <w:r>
        <w:rPr>
          <w:rFonts w:hint="eastAsia" w:ascii="Times New Roman" w:hAnsi="宋体"/>
          <w:color w:val="000000" w:themeColor="text1"/>
          <w:sz w:val="24"/>
          <w:szCs w:val="24"/>
          <w:highlight w:val="none"/>
        </w:rPr>
      </w:r>
      <w:r>
        <w:rPr>
          <w:color w:val="000000" w:themeColor="text1"/>
          <w:highlight w:val="none"/>
        </w:rPr>
      </w:r>
    </w:p>
    <w:p>
      <w:pPr>
        <w:ind w:right="-200"/>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供应商名称</w:t>
      </w:r>
      <w:r>
        <w:rPr>
          <w:rFonts w:hint="eastAsia" w:ascii="宋体" w:hAnsi="宋体"/>
          <w:color w:val="000000" w:themeColor="text1"/>
          <w:sz w:val="24"/>
          <w:szCs w:val="24"/>
          <w:highlight w:val="none"/>
        </w:rPr>
        <w:t xml:space="preserve">：（公章）</w:t>
      </w:r>
      <w:r>
        <w:rPr>
          <w:rFonts w:hint="eastAsia" w:ascii="宋体" w:hAnsi="宋体" w:cs="宋体"/>
          <w:color w:val="000000" w:themeColor="text1"/>
          <w:sz w:val="24"/>
          <w:szCs w:val="24"/>
          <w:highlight w:val="none"/>
          <w:lang w:val="zh-CN"/>
        </w:rPr>
        <w:t xml:space="preserve"> </w:t>
      </w:r>
      <w:r>
        <w:rPr>
          <w:color w:val="000000" w:themeColor="text1"/>
          <w:highlight w:val="none"/>
        </w:rPr>
      </w:r>
    </w:p>
    <w:p>
      <w:pPr>
        <w:ind w:firstLine="21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zh-CN"/>
        </w:rPr>
        <w:t xml:space="preserve">法定代表人或</w:t>
      </w:r>
      <w:r>
        <w:rPr>
          <w:rFonts w:hint="eastAsia" w:ascii="宋体" w:hAnsi="宋体" w:cs="宋体"/>
          <w:color w:val="000000" w:themeColor="text1"/>
          <w:sz w:val="24"/>
          <w:szCs w:val="24"/>
          <w:highlight w:val="none"/>
        </w:rPr>
        <w:t xml:space="preserve">被授权</w:t>
      </w:r>
      <w:r>
        <w:rPr>
          <w:rFonts w:hint="eastAsia" w:ascii="宋体" w:hAnsi="宋体" w:cs="宋体"/>
          <w:color w:val="000000" w:themeColor="text1"/>
          <w:sz w:val="24"/>
          <w:szCs w:val="24"/>
          <w:highlight w:val="none"/>
          <w:lang w:val="zh-CN"/>
        </w:rPr>
        <w:t xml:space="preserve">人：（签字或盖章）</w:t>
      </w:r>
      <w:r>
        <w:rPr>
          <w:color w:val="000000" w:themeColor="text1"/>
          <w:highlight w:val="none"/>
        </w:rPr>
      </w:r>
    </w:p>
    <w:p>
      <w:pPr>
        <w:ind w:right="615" w:firstLine="840"/>
        <w:jc w:val="right"/>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 日    期：     年</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zh-CN"/>
        </w:rPr>
        <w:t xml:space="preserve">月   </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zh-CN"/>
        </w:rPr>
        <w:t xml:space="preserve">日</w:t>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highlight w:val="none"/>
        </w:rPr>
      </w:r>
    </w:p>
    <w:p>
      <w:pPr>
        <w:jc w:val="left"/>
        <w:widowControl/>
        <w:rPr>
          <w:rFonts w:hint="eastAsia" w:ascii="宋体" w:hAnsi="宋体" w:cs="宋体"/>
          <w:b/>
          <w:color w:val="000000" w:themeColor="text1"/>
          <w:sz w:val="24"/>
          <w:szCs w:val="24"/>
          <w:highlight w:val="none"/>
        </w:rPr>
      </w:pPr>
      <w:r>
        <w:rPr>
          <w:rFonts w:ascii="宋体" w:hAnsi="宋体" w:cs="宋体"/>
          <w:b/>
          <w:color w:val="000000" w:themeColor="text1"/>
          <w:sz w:val="24"/>
          <w:szCs w:val="24"/>
          <w:highlight w:val="none"/>
        </w:rPr>
        <w:br w:type="page" w:clear="all"/>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ascii="宋体" w:hAnsi="宋体" w:cs="宋体"/>
          <w:b/>
          <w:color w:val="000000" w:themeColor="text1"/>
          <w:sz w:val="24"/>
          <w:szCs w:val="24"/>
          <w:highlight w:val="none"/>
        </w:rPr>
        <w:t xml:space="preserve">9</w:t>
      </w:r>
      <w:r>
        <w:rPr>
          <w:rFonts w:hint="eastAsia" w:ascii="宋体" w:hAnsi="宋体" w:cs="宋体"/>
          <w:b/>
          <w:color w:val="000000" w:themeColor="text1"/>
          <w:sz w:val="24"/>
          <w:szCs w:val="24"/>
          <w:highlight w:val="none"/>
        </w:rPr>
        <w:t xml:space="preserve">、相关业绩一览表</w:t>
      </w:r>
      <w:r>
        <w:rPr>
          <w:color w:val="000000" w:themeColor="text1"/>
          <w:highlight w:val="none"/>
        </w:rPr>
      </w:r>
    </w:p>
    <w:p>
      <w:pPr>
        <w:jc w:val="center"/>
        <w:rPr>
          <w:rFonts w:hint="eastAsia" w:asciiTheme="minorEastAsia" w:hAnsiTheme="minorEastAsia" w:eastAsiaTheme="minorEastAsia"/>
          <w:b/>
          <w:bCs/>
          <w:color w:val="000000" w:themeColor="text1"/>
          <w:sz w:val="24"/>
          <w:szCs w:val="24"/>
          <w:highlight w:val="none"/>
        </w:rPr>
      </w:pPr>
      <w:r>
        <w:rPr>
          <w:rFonts w:hint="eastAsia" w:asciiTheme="minorEastAsia" w:hAnsiTheme="minorEastAsia" w:eastAsiaTheme="minorEastAsia"/>
          <w:b/>
          <w:bCs/>
          <w:color w:val="000000" w:themeColor="text1"/>
          <w:sz w:val="24"/>
          <w:szCs w:val="24"/>
          <w:highlight w:val="none"/>
        </w:rPr>
        <w:t xml:space="preserve">相关业绩一览表</w:t>
      </w:r>
      <w:r>
        <w:rPr>
          <w:color w:val="000000" w:themeColor="text1"/>
          <w:highlight w:val="none"/>
        </w:rPr>
      </w:r>
    </w:p>
    <w:p>
      <w:pPr>
        <w:jc w:val="center"/>
        <w:rPr>
          <w:rFonts w:hint="eastAsia" w:asciiTheme="minorEastAsia" w:hAnsiTheme="minorEastAsia" w:eastAsiaTheme="minorEastAsia"/>
          <w:b/>
          <w:bCs/>
          <w:color w:val="000000" w:themeColor="text1"/>
          <w:sz w:val="24"/>
          <w:szCs w:val="24"/>
          <w:highlight w:val="none"/>
        </w:rPr>
      </w:pPr>
      <w:r>
        <w:rPr>
          <w:rFonts w:hint="eastAsia" w:asciiTheme="minorEastAsia" w:hAnsiTheme="minorEastAsia" w:eastAsiaTheme="minorEastAsia"/>
          <w:b/>
          <w:bCs/>
          <w:color w:val="000000" w:themeColor="text1"/>
          <w:sz w:val="24"/>
          <w:szCs w:val="24"/>
          <w:highlight w:val="none"/>
        </w:rPr>
      </w:r>
      <w:r>
        <w:rPr>
          <w:color w:val="000000" w:themeColor="text1"/>
          <w:highlight w:val="none"/>
        </w:rP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序号</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项目名称</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合同期</w:t>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合同金额</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备注</w:t>
            </w:r>
            <w:r>
              <w:rPr>
                <w:color w:val="000000" w:themeColor="text1"/>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3</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4</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5</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tc>
      </w:tr>
    </w:tbl>
    <w:p>
      <w:pPr>
        <w:jc w:val="left"/>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注：若事项较多，供应商可根据实际情况另纸说明。</w:t>
      </w:r>
      <w:r>
        <w:rPr>
          <w:color w:val="000000" w:themeColor="text1"/>
          <w:highlight w:val="none"/>
        </w:rPr>
      </w:r>
    </w:p>
    <w:p>
      <w:pPr>
        <w:ind w:firstLine="420"/>
        <w:jc w:val="left"/>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 </w:t>
      </w:r>
      <w:r>
        <w:rPr>
          <w:color w:val="000000" w:themeColor="text1"/>
          <w:highlight w:val="none"/>
        </w:rPr>
      </w:r>
    </w:p>
    <w:p>
      <w:pPr>
        <w:jc w:val="left"/>
        <w:spacing w:line="360" w:lineRule="auto"/>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p>
      <w:pPr>
        <w:ind w:right="-200"/>
        <w:jc w:val="center"/>
        <w:spacing w:line="360" w:lineRule="auto"/>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                                          供应商名称</w:t>
      </w:r>
      <w:r>
        <w:rPr>
          <w:rFonts w:hint="eastAsia" w:asciiTheme="minorEastAsia" w:hAnsiTheme="minorEastAsia" w:eastAsiaTheme="minorEastAsia"/>
          <w:color w:val="000000" w:themeColor="text1"/>
          <w:sz w:val="24"/>
          <w:szCs w:val="24"/>
          <w:highlight w:val="none"/>
        </w:rPr>
        <w:t xml:space="preserve">：（公章）</w:t>
      </w:r>
      <w:r>
        <w:rPr>
          <w:rFonts w:hint="eastAsia" w:cs="宋体" w:asciiTheme="minorEastAsia" w:hAnsiTheme="minorEastAsia" w:eastAsiaTheme="minorEastAsia"/>
          <w:color w:val="000000" w:themeColor="text1"/>
          <w:sz w:val="24"/>
          <w:szCs w:val="24"/>
          <w:highlight w:val="none"/>
          <w:lang w:val="zh-CN"/>
        </w:rPr>
        <w:t xml:space="preserve"> </w:t>
      </w:r>
      <w:r>
        <w:rPr>
          <w:color w:val="000000" w:themeColor="text1"/>
          <w:highlight w:val="none"/>
        </w:rPr>
      </w:r>
    </w:p>
    <w:p>
      <w:pPr>
        <w:ind w:firstLine="210"/>
        <w:jc w:val="right"/>
        <w:spacing w:line="360" w:lineRule="auto"/>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  </w:t>
      </w:r>
      <w:r>
        <w:rPr>
          <w:rFonts w:hint="eastAsia" w:cs="宋体" w:asciiTheme="minorEastAsia" w:hAnsiTheme="minorEastAsia" w:eastAsiaTheme="minorEastAsia"/>
          <w:color w:val="000000" w:themeColor="text1"/>
          <w:sz w:val="24"/>
          <w:szCs w:val="24"/>
          <w:highlight w:val="none"/>
          <w:lang w:val="zh-CN"/>
        </w:rPr>
        <w:t xml:space="preserve">法定代表人或</w:t>
      </w:r>
      <w:r>
        <w:rPr>
          <w:rFonts w:hint="eastAsia" w:cs="宋体" w:asciiTheme="minorEastAsia" w:hAnsiTheme="minorEastAsia" w:eastAsiaTheme="minorEastAsia"/>
          <w:color w:val="000000" w:themeColor="text1"/>
          <w:sz w:val="24"/>
          <w:szCs w:val="24"/>
          <w:highlight w:val="none"/>
        </w:rPr>
        <w:t xml:space="preserve">被授权</w:t>
      </w:r>
      <w:r>
        <w:rPr>
          <w:rFonts w:hint="eastAsia" w:cs="宋体" w:asciiTheme="minorEastAsia" w:hAnsiTheme="minorEastAsia" w:eastAsiaTheme="minorEastAsia"/>
          <w:color w:val="000000" w:themeColor="text1"/>
          <w:sz w:val="24"/>
          <w:szCs w:val="24"/>
          <w:highlight w:val="none"/>
          <w:lang w:val="zh-CN"/>
        </w:rPr>
        <w:t xml:space="preserve">人：（签字或盖章）</w:t>
      </w:r>
      <w:r>
        <w:rPr>
          <w:color w:val="000000" w:themeColor="text1"/>
          <w:highlight w:val="none"/>
        </w:rPr>
      </w:r>
    </w:p>
    <w:p>
      <w:pPr>
        <w:jc w:val="left"/>
        <w:spacing w:line="360" w:lineRule="auto"/>
        <w:rPr>
          <w:rFonts w:hint="eastAsia" w:asciiTheme="minorEastAsia" w:hAnsiTheme="minorEastAsia" w:eastAsiaTheme="minorEastAsia"/>
          <w:b/>
          <w:color w:val="000000" w:themeColor="text1"/>
          <w:sz w:val="24"/>
          <w:szCs w:val="24"/>
          <w:highlight w:val="none"/>
        </w:rPr>
        <w:outlineLvl w:val="1"/>
      </w:pPr>
      <w:r>
        <w:rPr>
          <w:rFonts w:hint="eastAsia" w:cs="宋体" w:asciiTheme="minorEastAsia" w:hAnsiTheme="minorEastAsia" w:eastAsiaTheme="minorEastAsia"/>
          <w:color w:val="000000" w:themeColor="text1"/>
          <w:sz w:val="24"/>
          <w:szCs w:val="24"/>
          <w:highlight w:val="none"/>
          <w:lang w:val="zh-CN"/>
        </w:rPr>
        <w:t xml:space="preserve"> 日    期：     年</w:t>
      </w:r>
      <w:r>
        <w:rPr>
          <w:rFonts w:hint="eastAsia" w:cs="宋体" w:asciiTheme="minorEastAsia" w:hAnsiTheme="minorEastAsia" w:eastAsiaTheme="minorEastAsia"/>
          <w:color w:val="000000" w:themeColor="text1"/>
          <w:sz w:val="24"/>
          <w:szCs w:val="24"/>
          <w:highlight w:val="none"/>
        </w:rPr>
        <w:t xml:space="preserve">     </w:t>
      </w:r>
      <w:r>
        <w:rPr>
          <w:rFonts w:hint="eastAsia" w:cs="宋体" w:asciiTheme="minorEastAsia" w:hAnsiTheme="minorEastAsia" w:eastAsiaTheme="minorEastAsia"/>
          <w:color w:val="000000" w:themeColor="text1"/>
          <w:sz w:val="24"/>
          <w:szCs w:val="24"/>
          <w:highlight w:val="none"/>
          <w:lang w:val="zh-CN"/>
        </w:rPr>
        <w:t xml:space="preserve">月   </w:t>
      </w:r>
      <w:r>
        <w:rPr>
          <w:rFonts w:hint="eastAsia" w:cs="宋体" w:asciiTheme="minorEastAsia" w:hAnsiTheme="minorEastAsia" w:eastAsiaTheme="minorEastAsia"/>
          <w:color w:val="000000" w:themeColor="text1"/>
          <w:sz w:val="24"/>
          <w:szCs w:val="24"/>
          <w:highlight w:val="none"/>
        </w:rPr>
        <w:t xml:space="preserve"> </w:t>
      </w:r>
      <w:r>
        <w:rPr>
          <w:rFonts w:hint="eastAsia" w:cs="宋体" w:asciiTheme="minorEastAsia" w:hAnsiTheme="minorEastAsia" w:eastAsiaTheme="minorEastAsia"/>
          <w:color w:val="000000" w:themeColor="text1"/>
          <w:sz w:val="24"/>
          <w:szCs w:val="24"/>
          <w:highlight w:val="none"/>
          <w:lang w:val="zh-CN"/>
        </w:rPr>
        <w:t xml:space="preserve">日</w:t>
      </w:r>
      <w:r>
        <w:rPr>
          <w:color w:val="000000" w:themeColor="text1"/>
          <w:highlight w:val="none"/>
        </w:rPr>
      </w:r>
    </w:p>
    <w:p>
      <w:pPr>
        <w:jc w:val="left"/>
        <w:spacing w:line="360" w:lineRule="auto"/>
        <w:rPr>
          <w:rFonts w:hint="eastAsia" w:asciiTheme="minorEastAsia" w:hAnsiTheme="minorEastAsia" w:eastAsiaTheme="minorEastAsia"/>
          <w:b/>
          <w:color w:val="000000" w:themeColor="text1"/>
          <w:sz w:val="24"/>
          <w:szCs w:val="24"/>
          <w:highlight w:val="none"/>
        </w:rPr>
        <w:outlineLvl w:val="1"/>
      </w:pPr>
      <w:r>
        <w:rPr>
          <w:rFonts w:hint="eastAsia" w:asciiTheme="minorEastAsia" w:hAnsiTheme="minorEastAsia" w:eastAsiaTheme="minorEastAsia"/>
          <w:b/>
          <w:color w:val="000000" w:themeColor="text1"/>
          <w:sz w:val="24"/>
          <w:szCs w:val="24"/>
          <w:highlight w:val="none"/>
        </w:rPr>
      </w:r>
      <w:r>
        <w:rPr>
          <w:color w:val="000000" w:themeColor="text1"/>
          <w:highlight w:val="none"/>
        </w:rPr>
      </w:r>
    </w:p>
    <w:p>
      <w:pPr>
        <w:jc w:val="left"/>
        <w:spacing w:line="360" w:lineRule="auto"/>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r>
      <w:r>
        <w:rPr>
          <w:color w:val="000000" w:themeColor="text1"/>
          <w:highlight w:val="none"/>
        </w:rPr>
      </w:r>
    </w:p>
    <w:p>
      <w:pPr>
        <w:jc w:val="left"/>
        <w:spacing w:line="360" w:lineRule="auto"/>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r>
      <w:r>
        <w:rPr>
          <w:color w:val="000000" w:themeColor="text1"/>
          <w:highlight w:val="none"/>
        </w:rPr>
      </w:r>
    </w:p>
    <w:p>
      <w:pPr>
        <w:jc w:val="left"/>
        <w:spacing w:line="360" w:lineRule="auto"/>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r>
      <w:r>
        <w:rPr>
          <w:color w:val="000000" w:themeColor="text1"/>
          <w:highlight w:val="none"/>
        </w:rPr>
      </w:r>
    </w:p>
    <w:p>
      <w:pPr>
        <w:jc w:val="left"/>
        <w:spacing w:line="360" w:lineRule="auto"/>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r>
      <w:r>
        <w:rPr>
          <w:color w:val="000000" w:themeColor="text1"/>
          <w:highlight w:val="none"/>
        </w:rPr>
      </w:r>
    </w:p>
    <w:p>
      <w:pPr>
        <w:jc w:val="left"/>
        <w:spacing w:line="360" w:lineRule="auto"/>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cs="宋体"/>
          <w:b/>
          <w:color w:val="000000" w:themeColor="text1"/>
          <w:sz w:val="24"/>
          <w:szCs w:val="24"/>
          <w:highlight w:val="none"/>
        </w:rPr>
        <w:br w:type="page" w:clear="all"/>
      </w:r>
      <w:r>
        <w:rPr>
          <w:color w:val="000000" w:themeColor="text1"/>
          <w:highlight w:val="none"/>
        </w:rPr>
      </w:r>
    </w:p>
    <w:p>
      <w:pPr>
        <w:spacing w:line="360" w:lineRule="auto"/>
        <w:rPr>
          <w:rFonts w:hint="eastAsia" w:ascii="宋体" w:hAnsi="宋体"/>
          <w:b/>
          <w:color w:val="000000" w:themeColor="text1"/>
          <w:spacing w:val="20"/>
          <w:sz w:val="24"/>
          <w:szCs w:val="24"/>
          <w:highlight w:val="none"/>
        </w:rPr>
      </w:pPr>
      <w:r>
        <w:rPr>
          <w:rFonts w:hint="eastAsia" w:ascii="宋体" w:hAnsi="宋体" w:cs="宋体"/>
          <w:b/>
          <w:color w:val="000000" w:themeColor="text1"/>
          <w:sz w:val="24"/>
          <w:szCs w:val="24"/>
          <w:highlight w:val="none"/>
        </w:rPr>
        <w:t xml:space="preserve">10、</w:t>
      </w:r>
      <w:r>
        <w:rPr>
          <w:rFonts w:hint="eastAsia" w:ascii="宋体" w:hAnsi="宋体" w:cs="宋体"/>
          <w:b/>
          <w:color w:val="000000" w:themeColor="text1"/>
          <w:sz w:val="24"/>
          <w:szCs w:val="24"/>
          <w:highlight w:val="none"/>
        </w:rPr>
        <w:t xml:space="preserve">中小企业声明函</w:t>
      </w:r>
      <w:r>
        <w:rPr>
          <w:color w:val="000000" w:themeColor="text1"/>
          <w:highlight w:val="none"/>
        </w:rPr>
      </w:r>
    </w:p>
    <w:p>
      <w:pPr>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中小企业声明函</w:t>
      </w:r>
      <w:r>
        <w:rPr>
          <w:color w:val="000000" w:themeColor="text1"/>
          <w:highlight w:val="none"/>
        </w:rPr>
      </w:r>
    </w:p>
    <w:p>
      <w:pPr>
        <w:ind w:firstLine="480"/>
        <w:jc w:val="left"/>
        <w:spacing w:line="360" w:lineRule="auto"/>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本公司（联合体）郑重声明，根据《政府采购促进中小企业发展管理办法》（财库</w:t>
      </w:r>
      <w:r>
        <w:rPr>
          <w:rFonts w:hint="eastAsia" w:ascii="宋体" w:hAnsi="宋体" w:cs="宋体"/>
          <w:color w:val="000000" w:themeColor="text1"/>
          <w:sz w:val="24"/>
          <w:szCs w:val="24"/>
          <w:highlight w:val="none"/>
        </w:rPr>
        <w:t xml:space="preserve">﹝</w:t>
      </w:r>
      <w:r>
        <w:rPr>
          <w:rFonts w:ascii="宋体" w:hAnsi="宋体" w:cs="仿宋"/>
          <w:color w:val="000000" w:themeColor="text1"/>
          <w:sz w:val="24"/>
          <w:szCs w:val="24"/>
          <w:highlight w:val="none"/>
        </w:rPr>
        <w:t xml:space="preserve">2020</w:t>
      </w:r>
      <w:r>
        <w:rPr>
          <w:rFonts w:hint="eastAsia" w:ascii="宋体" w:hAnsi="宋体" w:cs="宋体"/>
          <w:color w:val="000000" w:themeColor="text1"/>
          <w:sz w:val="24"/>
          <w:szCs w:val="24"/>
          <w:highlight w:val="none"/>
        </w:rPr>
        <w:t xml:space="preserve">﹞</w:t>
      </w:r>
      <w:r>
        <w:rPr>
          <w:rFonts w:ascii="宋体" w:hAnsi="宋体" w:cs="仿宋"/>
          <w:color w:val="000000" w:themeColor="text1"/>
          <w:sz w:val="24"/>
          <w:szCs w:val="24"/>
          <w:highlight w:val="none"/>
        </w:rPr>
        <w:t xml:space="preserve">46 </w:t>
      </w:r>
      <w:r>
        <w:rPr>
          <w:rFonts w:hint="eastAsia" w:ascii="宋体" w:hAnsi="宋体" w:cs="仿宋"/>
          <w:color w:val="000000" w:themeColor="text1"/>
          <w:sz w:val="24"/>
          <w:szCs w:val="24"/>
          <w:highlight w:val="none"/>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p>
    <w:p>
      <w:pPr>
        <w:jc w:val="left"/>
        <w:spacing w:line="360" w:lineRule="auto"/>
        <w:rPr>
          <w:rFonts w:hint="eastAsia" w:ascii="宋体" w:hAnsi="宋体" w:cs="仿宋"/>
          <w:color w:val="000000" w:themeColor="text1"/>
          <w:sz w:val="24"/>
          <w:szCs w:val="24"/>
          <w:highlight w:val="none"/>
        </w:rPr>
      </w:pPr>
      <w:r>
        <w:rPr>
          <w:rFonts w:ascii="宋体" w:hAnsi="宋体" w:cs="仿宋"/>
          <w:color w:val="000000" w:themeColor="text1"/>
          <w:sz w:val="24"/>
          <w:szCs w:val="24"/>
          <w:highlight w:val="none"/>
        </w:rPr>
        <w:t xml:space="preserve">1. </w:t>
      </w:r>
      <w:r>
        <w:rPr>
          <w:rFonts w:hint="eastAsia" w:ascii="宋体" w:hAnsi="宋体" w:cs="仿宋"/>
          <w:color w:val="000000" w:themeColor="text1"/>
          <w:sz w:val="24"/>
          <w:szCs w:val="24"/>
          <w:highlight w:val="none"/>
        </w:rPr>
        <w:t xml:space="preserve">（标的名称），属于（采购文件中明确的所属行业）；承建（承接）企业为（企业名称），从业人员人，营业收入为万元，资产总额为万元</w:t>
      </w:r>
      <w:r>
        <w:rPr>
          <w:rFonts w:ascii="宋体" w:hAnsi="宋体" w:cs="仿宋"/>
          <w:color w:val="000000" w:themeColor="text1"/>
          <w:sz w:val="24"/>
          <w:szCs w:val="24"/>
          <w:highlight w:val="none"/>
        </w:rPr>
        <w:t xml:space="preserve">1</w:t>
      </w:r>
      <w:r>
        <w:rPr>
          <w:rFonts w:hint="eastAsia" w:ascii="宋体" w:hAnsi="宋体" w:cs="仿宋"/>
          <w:color w:val="000000" w:themeColor="text1"/>
          <w:sz w:val="24"/>
          <w:szCs w:val="24"/>
          <w:highlight w:val="none"/>
        </w:rPr>
        <w:t xml:space="preserve">，属于（中型企业、小型企业、微型企业）；</w:t>
      </w:r>
      <w:r>
        <w:rPr>
          <w:color w:val="000000" w:themeColor="text1"/>
          <w:highlight w:val="none"/>
        </w:rPr>
      </w:r>
    </w:p>
    <w:p>
      <w:pPr>
        <w:jc w:val="left"/>
        <w:spacing w:line="360" w:lineRule="auto"/>
        <w:rPr>
          <w:rFonts w:hint="eastAsia" w:ascii="宋体" w:hAnsi="宋体" w:cs="仿宋"/>
          <w:color w:val="000000" w:themeColor="text1"/>
          <w:sz w:val="24"/>
          <w:szCs w:val="24"/>
          <w:highlight w:val="none"/>
        </w:rPr>
      </w:pPr>
      <w:r>
        <w:rPr>
          <w:rFonts w:ascii="宋体" w:hAnsi="宋体" w:cs="仿宋"/>
          <w:color w:val="000000" w:themeColor="text1"/>
          <w:sz w:val="24"/>
          <w:szCs w:val="24"/>
          <w:highlight w:val="none"/>
        </w:rPr>
        <w:t xml:space="preserve">2. </w:t>
      </w:r>
      <w:r>
        <w:rPr>
          <w:rFonts w:hint="eastAsia" w:ascii="宋体" w:hAnsi="宋体" w:cs="仿宋"/>
          <w:color w:val="000000" w:themeColor="text1"/>
          <w:sz w:val="24"/>
          <w:szCs w:val="24"/>
          <w:highlight w:val="none"/>
        </w:rPr>
        <w:t xml:space="preserve">（标的名称），属于（采购文件中明确的所属行业）；承建（承接）企业为（企业名称），从业人员人，营业收入为万元，资产总额为万元，属于（中型企业、小型企业、微型企业）；</w:t>
      </w:r>
      <w:r>
        <w:rPr>
          <w:color w:val="000000" w:themeColor="text1"/>
          <w:highlight w:val="none"/>
        </w:rPr>
      </w:r>
    </w:p>
    <w:p>
      <w:pPr>
        <w:jc w:val="left"/>
        <w:spacing w:line="360" w:lineRule="auto"/>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color w:val="000000" w:themeColor="text1"/>
          <w:highlight w:val="none"/>
        </w:rPr>
      </w:r>
    </w:p>
    <w:p>
      <w:pPr>
        <w:jc w:val="left"/>
        <w:spacing w:line="360" w:lineRule="auto"/>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jc w:val="left"/>
        <w:spacing w:line="360" w:lineRule="auto"/>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本企业对上述声明内容的真实性负责。如有虚假，将依法承担相应责任。</w:t>
      </w:r>
      <w:r>
        <w:rPr>
          <w:color w:val="000000" w:themeColor="text1"/>
          <w:highlight w:val="none"/>
        </w:rPr>
      </w:r>
    </w:p>
    <w:p>
      <w:pPr>
        <w:jc w:val="left"/>
        <w:spacing w:line="360" w:lineRule="auto"/>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企业名称（盖章）：</w:t>
      </w:r>
      <w:r>
        <w:rPr>
          <w:color w:val="000000" w:themeColor="text1"/>
          <w:highlight w:val="none"/>
        </w:rPr>
      </w:r>
    </w:p>
    <w:p>
      <w:pPr>
        <w:jc w:val="left"/>
        <w:spacing w:line="360" w:lineRule="auto"/>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日期：</w:t>
      </w:r>
      <w:r>
        <w:rPr>
          <w:color w:val="000000" w:themeColor="text1"/>
          <w:highlight w:val="none"/>
        </w:rPr>
      </w:r>
    </w:p>
    <w:p>
      <w:pPr>
        <w:spacing w:line="360" w:lineRule="auto"/>
        <w:rPr>
          <w:rFonts w:hint="eastAsia" w:ascii="宋体" w:hAnsi="宋体" w:cs="TimesNewRomanPSMT"/>
          <w:color w:val="000000" w:themeColor="text1"/>
          <w:sz w:val="24"/>
          <w:szCs w:val="24"/>
          <w:highlight w:val="none"/>
        </w:rPr>
      </w:pPr>
      <w:r>
        <w:rPr>
          <w:rFonts w:hint="eastAsia" w:ascii="宋体" w:hAnsi="宋体" w:cs="TimesNewRomanPSMT"/>
          <w:color w:val="000000" w:themeColor="text1"/>
          <w:sz w:val="24"/>
          <w:szCs w:val="24"/>
          <w:highlight w:val="none"/>
        </w:rPr>
        <w:t xml:space="preserve">注：从业人员、营业收入、资产总额填报上一年度数据，无上一年度数据的新成立企业可不填报。</w:t>
      </w:r>
      <w:r>
        <w:rPr>
          <w:color w:val="000000" w:themeColor="text1"/>
          <w:highlight w:val="none"/>
        </w:rPr>
      </w:r>
    </w:p>
    <w:p>
      <w:pPr>
        <w:jc w:val="left"/>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br w:type="page" w:clear="all"/>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附：中小企业划型标准规定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（一）农、林、牧、渔业。</w:t>
      </w:r>
      <w:r>
        <w:rPr>
          <w:rFonts w:hint="eastAsia" w:ascii="宋体" w:hAnsi="宋体" w:cs="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（二）工业。</w:t>
      </w:r>
      <w:r>
        <w:rPr>
          <w:rFonts w:hint="eastAsia" w:ascii="宋体" w:hAnsi="宋体" w:cs="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（三）建筑业。</w:t>
      </w:r>
      <w:r>
        <w:rPr>
          <w:rFonts w:hint="eastAsia" w:ascii="宋体" w:hAnsi="宋体" w:cs="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（四）批发业。</w:t>
      </w:r>
      <w:r>
        <w:rPr>
          <w:rFonts w:hint="eastAsia" w:ascii="宋体" w:hAnsi="宋体" w:cs="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（五）零售业。</w:t>
      </w:r>
      <w:r>
        <w:rPr>
          <w:rFonts w:hint="eastAsia" w:ascii="宋体" w:hAnsi="宋体" w:cs="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（六）交通运输业。</w:t>
      </w:r>
      <w:r>
        <w:rPr>
          <w:rFonts w:hint="eastAsia" w:ascii="宋体" w:hAnsi="宋体" w:cs="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（七）仓储业。</w:t>
      </w:r>
      <w:r>
        <w:rPr>
          <w:rFonts w:hint="eastAsia" w:ascii="宋体" w:hAnsi="宋体" w:cs="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（八）邮政业。</w:t>
      </w:r>
      <w:r>
        <w:rPr>
          <w:rFonts w:hint="eastAsia" w:ascii="宋体" w:hAnsi="宋体" w:cs="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（九）住宿业。</w:t>
      </w:r>
      <w:r>
        <w:rPr>
          <w:rFonts w:hint="eastAsia" w:ascii="宋体" w:hAnsi="宋体" w:cs="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（十）餐饮业。</w:t>
      </w:r>
      <w:r>
        <w:rPr>
          <w:rFonts w:hint="eastAsia" w:ascii="宋体" w:hAnsi="宋体" w:cs="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（十一）信息传输业。</w:t>
      </w:r>
      <w:r>
        <w:rPr>
          <w:rFonts w:hint="eastAsia" w:ascii="宋体" w:hAnsi="宋体" w:cs="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（十二）软件和信息技术服务业。</w:t>
      </w:r>
      <w:r>
        <w:rPr>
          <w:rFonts w:hint="eastAsia" w:ascii="宋体" w:hAnsi="宋体" w:cs="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（十三）房地产开发经营。</w:t>
      </w:r>
      <w:r>
        <w:rPr>
          <w:rFonts w:hint="eastAsia" w:ascii="宋体" w:hAnsi="宋体" w:cs="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w:t>
      </w:r>
      <w:r>
        <w:rPr>
          <w:rFonts w:hint="eastAsia" w:ascii="宋体" w:hAnsi="宋体" w:cs="宋体"/>
          <w:color w:val="000000" w:themeColor="text1"/>
          <w:sz w:val="24"/>
          <w:szCs w:val="24"/>
          <w:highlight w:val="none"/>
        </w:rPr>
        <w:t xml:space="preserve">营业收入100万元及以上，且资产总额2000万元及以上的为小型企业；营业收入100万元以下或资产总额2000万元以下的为微型企业。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（十四）物业管理。</w:t>
      </w:r>
      <w:r>
        <w:rPr>
          <w:rFonts w:hint="eastAsia" w:ascii="宋体" w:hAnsi="宋体" w:cs="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p>
    <w:p>
      <w:pPr>
        <w:spacing w:line="2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（十五）租赁和商务服务业。</w:t>
      </w:r>
      <w:r>
        <w:rPr>
          <w:rFonts w:hint="eastAsia" w:ascii="宋体" w:hAnsi="宋体" w:cs="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p>
    <w:p>
      <w:pPr>
        <w:ind w:firstLine="480"/>
        <w:spacing w:line="2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（十六）其他未列明行业。</w:t>
      </w:r>
      <w:r>
        <w:rPr>
          <w:rFonts w:hint="eastAsia" w:ascii="宋体" w:hAnsi="宋体" w:cs="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ind w:firstLine="42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ind w:firstLine="42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ind w:firstLine="42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ind w:firstLine="42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11、</w:t>
      </w:r>
      <w:r>
        <w:rPr>
          <w:rFonts w:hint="eastAsia" w:ascii="宋体" w:hAnsi="宋体" w:cs="宋体"/>
          <w:color w:val="000000" w:themeColor="text1"/>
          <w:sz w:val="24"/>
          <w:szCs w:val="24"/>
          <w:highlight w:val="none"/>
        </w:rPr>
        <w:t xml:space="preserve">残疾人福利性单位声明函（如有）</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本单位对上述声明的真实性负责。如有虚假，将依法承担相应责任。</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right="1560" w:firstLine="480"/>
        <w:jc w:val="center"/>
        <w:spacing w:line="360" w:lineRule="auto"/>
        <w:tabs>
          <w:tab w:val="left" w:pos="48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单位名称（盖章）：</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  期：</w:t>
      </w:r>
      <w:r>
        <w:rPr>
          <w:color w:val="000000" w:themeColor="text1"/>
          <w:highlight w:val="none"/>
        </w:rPr>
      </w:r>
    </w:p>
    <w:p>
      <w:pPr>
        <w:pStyle w:val="747"/>
        <w:rPr>
          <w:color w:val="000000" w:themeColor="text1"/>
          <w:highlight w:val="none"/>
        </w:rPr>
      </w:pPr>
      <w:r>
        <w:rPr>
          <w:color w:val="000000" w:themeColor="text1"/>
          <w:highlight w:val="none"/>
        </w:rPr>
        <w:br w:type="page" w:clear="all"/>
      </w:r>
      <w:r>
        <w:rPr>
          <w:color w:val="000000" w:themeColor="text1"/>
          <w:highlight w:val="none"/>
        </w:rPr>
      </w:r>
    </w:p>
    <w:p>
      <w:pPr>
        <w:spacing w:line="360" w:lineRule="auto"/>
        <w:rPr>
          <w:rFonts w:hint="eastAsia" w:asciiTheme="minorEastAsia" w:hAnsiTheme="minorEastAsia" w:eastAsiaTheme="minorEastAsia"/>
          <w:b/>
          <w:bCs/>
          <w:color w:val="000000" w:themeColor="text1"/>
          <w:sz w:val="24"/>
          <w:szCs w:val="24"/>
          <w:highlight w:val="none"/>
        </w:rPr>
      </w:pPr>
      <w:r>
        <w:rPr>
          <w:rFonts w:hint="eastAsia" w:asciiTheme="minorEastAsia" w:hAnsiTheme="minorEastAsia" w:eastAsiaTheme="minorEastAsia"/>
          <w:b/>
          <w:color w:val="000000" w:themeColor="text1"/>
          <w:spacing w:val="6"/>
          <w:sz w:val="24"/>
          <w:szCs w:val="24"/>
          <w:highlight w:val="none"/>
        </w:rPr>
        <w:t xml:space="preserve">1</w:t>
      </w:r>
      <w:r>
        <w:rPr>
          <w:rFonts w:asciiTheme="minorEastAsia" w:hAnsiTheme="minorEastAsia" w:eastAsiaTheme="minorEastAsia"/>
          <w:b/>
          <w:color w:val="000000" w:themeColor="text1"/>
          <w:spacing w:val="6"/>
          <w:sz w:val="24"/>
          <w:szCs w:val="24"/>
          <w:highlight w:val="none"/>
        </w:rPr>
        <w:t xml:space="preserve">2</w:t>
      </w:r>
      <w:r>
        <w:rPr>
          <w:rFonts w:hint="eastAsia" w:asciiTheme="minorEastAsia" w:hAnsiTheme="minorEastAsia" w:eastAsiaTheme="minorEastAsia"/>
          <w:b/>
          <w:color w:val="000000" w:themeColor="text1"/>
          <w:spacing w:val="6"/>
          <w:sz w:val="24"/>
          <w:szCs w:val="24"/>
          <w:highlight w:val="none"/>
        </w:rPr>
        <w:t xml:space="preserve">、</w:t>
      </w:r>
      <w:r>
        <w:rPr>
          <w:rFonts w:hint="eastAsia" w:asciiTheme="minorEastAsia" w:hAnsiTheme="minorEastAsia" w:eastAsiaTheme="minorEastAsia"/>
          <w:b/>
          <w:bCs/>
          <w:color w:val="000000" w:themeColor="text1"/>
          <w:sz w:val="24"/>
          <w:szCs w:val="24"/>
          <w:highlight w:val="none"/>
        </w:rPr>
        <w:t xml:space="preserve">投标（响应）保证承诺书</w:t>
      </w:r>
      <w:r>
        <w:rPr>
          <w:color w:val="000000" w:themeColor="text1"/>
          <w:highlight w:val="none"/>
        </w:rPr>
      </w:r>
    </w:p>
    <w:p>
      <w:pPr>
        <w:jc w:val="center"/>
        <w:spacing w:line="400" w:lineRule="exact"/>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投标（响应）保证承诺书</w:t>
      </w:r>
      <w:r>
        <w:rPr>
          <w:color w:val="000000" w:themeColor="text1"/>
          <w:highlight w:val="none"/>
        </w:rPr>
      </w:r>
    </w:p>
    <w:p>
      <w:pPr>
        <w:jc w:val="left"/>
        <w:spacing w:line="360" w:lineRule="auto"/>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r>
      <w:r>
        <w:rPr>
          <w:color w:val="000000" w:themeColor="text1"/>
          <w:highlight w:val="none"/>
        </w:rPr>
      </w:r>
    </w:p>
    <w:p>
      <w:pPr>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致：</w:t>
      </w:r>
      <w:r>
        <w:rPr>
          <w:rFonts w:hint="eastAsia" w:cs="宋体" w:asciiTheme="minorEastAsia" w:hAnsiTheme="minorEastAsia" w:eastAsiaTheme="minorEastAsia"/>
          <w:color w:val="000000" w:themeColor="text1"/>
          <w:sz w:val="24"/>
          <w:szCs w:val="24"/>
          <w:highlight w:val="none"/>
          <w:u w:val="single"/>
        </w:rPr>
        <w:t xml:space="preserve">         （采购代理机构名称）</w:t>
      </w:r>
      <w:r>
        <w:rPr>
          <w:color w:val="000000" w:themeColor="text1"/>
          <w:highlight w:val="none"/>
        </w:rPr>
      </w:r>
    </w:p>
    <w:p>
      <w:pPr>
        <w:ind w:firstLine="480"/>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我（单位/本人，以下统称我单位）自愿参加</w:t>
      </w:r>
      <w:r>
        <w:rPr>
          <w:rFonts w:hint="eastAsia" w:cs="宋体" w:asciiTheme="minorEastAsia" w:hAnsiTheme="minorEastAsia" w:eastAsiaTheme="minorEastAsia"/>
          <w:color w:val="000000" w:themeColor="text1"/>
          <w:sz w:val="24"/>
          <w:szCs w:val="24"/>
          <w:highlight w:val="none"/>
          <w:u w:val="single"/>
        </w:rPr>
        <w:t xml:space="preserve">              （项目名称和采购编号）</w:t>
      </w:r>
      <w:r>
        <w:rPr>
          <w:rFonts w:hint="eastAsia" w:cs="宋体" w:asciiTheme="minorEastAsia" w:hAnsiTheme="minorEastAsia" w:eastAsiaTheme="minorEastAsia"/>
          <w:color w:val="000000" w:themeColor="text1"/>
          <w:sz w:val="24"/>
          <w:szCs w:val="24"/>
          <w:highlight w:val="none"/>
        </w:rPr>
        <w:t xml:space="preserve">的投标（响应）,并做出如下承诺：</w:t>
      </w:r>
      <w:r>
        <w:rPr>
          <w:color w:val="000000" w:themeColor="text1"/>
          <w:highlight w:val="none"/>
        </w:rPr>
      </w:r>
    </w:p>
    <w:p>
      <w:pPr>
        <w:numPr>
          <w:ilvl w:val="0"/>
          <w:numId w:val="26"/>
        </w:numPr>
        <w:ind w:left="431" w:hanging="431"/>
        <w:jc w:val="left"/>
        <w:spacing w:line="520" w:lineRule="exact"/>
        <w:widowControl/>
        <w:tabs>
          <w:tab w:val="left" w:pos="426" w:leader="none"/>
        </w:tabs>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除不可抗力外，我单位如果发生以下行为，将在行为发生的10个工作日内，向贵方</w:t>
      </w:r>
      <w:r>
        <w:rPr>
          <w:rFonts w:hint="eastAsia" w:cs="宋体" w:asciiTheme="minorEastAsia" w:hAnsiTheme="minorEastAsia" w:eastAsiaTheme="minorEastAsia"/>
          <w:color w:val="000000" w:themeColor="text1"/>
          <w:sz w:val="24"/>
          <w:szCs w:val="24"/>
          <w:highlight w:val="none"/>
          <w:u w:val="single"/>
        </w:rPr>
        <w:t xml:space="preserve">（或采购人）</w:t>
      </w:r>
      <w:r>
        <w:rPr>
          <w:rFonts w:hint="eastAsia" w:cs="宋体" w:asciiTheme="minorEastAsia" w:hAnsiTheme="minorEastAsia" w:eastAsiaTheme="minorEastAsia"/>
          <w:color w:val="000000" w:themeColor="text1"/>
          <w:sz w:val="24"/>
          <w:szCs w:val="24"/>
          <w:highlight w:val="none"/>
        </w:rPr>
        <w:t xml:space="preserve">支付本采购文件公布的预算金额（或最高限价）的2%作为违约赔偿金（数量不确定的单价采购须约定具体金额）。</w:t>
      </w:r>
      <w:r>
        <w:rPr>
          <w:color w:val="000000" w:themeColor="text1"/>
          <w:highlight w:val="none"/>
        </w:rPr>
      </w:r>
    </w:p>
    <w:p>
      <w:pPr>
        <w:numPr>
          <w:ilvl w:val="0"/>
          <w:numId w:val="27"/>
        </w:numPr>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自投标（响应）截止时间至本项目发布中标（成交）公告为止，撤销投标（响应）；</w:t>
      </w:r>
      <w:r>
        <w:rPr>
          <w:color w:val="000000" w:themeColor="text1"/>
          <w:highlight w:val="none"/>
        </w:rPr>
      </w:r>
    </w:p>
    <w:p>
      <w:pPr>
        <w:numPr>
          <w:ilvl w:val="0"/>
          <w:numId w:val="27"/>
        </w:numPr>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中标（成交）后不依法与采购人签订合同；</w:t>
      </w:r>
      <w:r>
        <w:rPr>
          <w:color w:val="000000" w:themeColor="text1"/>
          <w:highlight w:val="none"/>
        </w:rPr>
      </w:r>
    </w:p>
    <w:p>
      <w:pPr>
        <w:numPr>
          <w:ilvl w:val="0"/>
          <w:numId w:val="27"/>
        </w:numPr>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中标（成交）后不按本采购文件规定向采购人提交履约保证金；</w:t>
      </w:r>
      <w:r>
        <w:rPr>
          <w:color w:val="000000" w:themeColor="text1"/>
          <w:highlight w:val="none"/>
        </w:rPr>
      </w:r>
    </w:p>
    <w:p>
      <w:pPr>
        <w:numPr>
          <w:ilvl w:val="0"/>
          <w:numId w:val="27"/>
        </w:numPr>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中标（成交）后不按本采购文件规定向贵方缴纳采购代理费。</w:t>
      </w:r>
      <w:r>
        <w:rPr>
          <w:color w:val="000000" w:themeColor="text1"/>
          <w:highlight w:val="none"/>
        </w:rPr>
      </w:r>
    </w:p>
    <w:p>
      <w:pPr>
        <w:numPr>
          <w:ilvl w:val="0"/>
          <w:numId w:val="26"/>
        </w:numPr>
        <w:ind w:left="431" w:hanging="431"/>
        <w:jc w:val="left"/>
        <w:spacing w:line="520" w:lineRule="exact"/>
        <w:widowControl/>
        <w:tabs>
          <w:tab w:val="left" w:pos="426" w:leader="none"/>
        </w:tabs>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我单位知晓上述行为的法律后果，承认本承诺书作为贵方（或采购人）要求我单位履行违约赔偿义务的依据作用。</w:t>
      </w:r>
      <w:r>
        <w:rPr>
          <w:color w:val="000000" w:themeColor="text1"/>
          <w:highlight w:val="none"/>
        </w:rPr>
      </w:r>
    </w:p>
    <w:p>
      <w:pPr>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 </w:t>
      </w:r>
      <w:r>
        <w:rPr>
          <w:color w:val="000000" w:themeColor="text1"/>
          <w:highlight w:val="none"/>
        </w:rPr>
      </w:r>
    </w:p>
    <w:p>
      <w:pPr>
        <w:ind w:firstLine="485"/>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投标（响应）人：（盖公章）</w:t>
      </w:r>
      <w:r>
        <w:rPr>
          <w:color w:val="000000" w:themeColor="text1"/>
          <w:highlight w:val="none"/>
        </w:rPr>
      </w:r>
    </w:p>
    <w:p>
      <w:pPr>
        <w:ind w:firstLine="485"/>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地址：</w:t>
      </w:r>
      <w:r>
        <w:rPr>
          <w:rFonts w:hint="eastAsia" w:cs="宋体" w:asciiTheme="minorEastAsia" w:hAnsiTheme="minorEastAsia" w:eastAsiaTheme="minorEastAsia"/>
          <w:color w:val="000000" w:themeColor="text1"/>
          <w:sz w:val="24"/>
          <w:szCs w:val="24"/>
          <w:highlight w:val="none"/>
          <w:u w:val="single"/>
        </w:rPr>
        <w:t xml:space="preserve">                                   </w:t>
      </w:r>
      <w:r>
        <w:rPr>
          <w:color w:val="000000" w:themeColor="text1"/>
          <w:highlight w:val="none"/>
        </w:rPr>
      </w:r>
    </w:p>
    <w:p>
      <w:pPr>
        <w:ind w:firstLine="485"/>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电话：</w:t>
      </w:r>
      <w:r>
        <w:rPr>
          <w:rFonts w:hint="eastAsia" w:cs="宋体" w:asciiTheme="minorEastAsia" w:hAnsiTheme="minorEastAsia" w:eastAsiaTheme="minorEastAsia"/>
          <w:color w:val="000000" w:themeColor="text1"/>
          <w:sz w:val="24"/>
          <w:szCs w:val="24"/>
          <w:highlight w:val="none"/>
          <w:u w:val="single"/>
        </w:rPr>
        <w:t xml:space="preserve">                          </w:t>
      </w:r>
      <w:r>
        <w:rPr>
          <w:color w:val="000000" w:themeColor="text1"/>
          <w:highlight w:val="none"/>
        </w:rPr>
      </w:r>
    </w:p>
    <w:p>
      <w:pPr>
        <w:ind w:firstLine="485"/>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传真：</w:t>
      </w:r>
      <w:r>
        <w:rPr>
          <w:rFonts w:hint="eastAsia" w:cs="宋体" w:asciiTheme="minorEastAsia" w:hAnsiTheme="minorEastAsia" w:eastAsiaTheme="minorEastAsia"/>
          <w:color w:val="000000" w:themeColor="text1"/>
          <w:sz w:val="24"/>
          <w:szCs w:val="24"/>
          <w:highlight w:val="none"/>
          <w:u w:val="single"/>
        </w:rPr>
        <w:t xml:space="preserve">                          </w:t>
      </w:r>
      <w:r>
        <w:rPr>
          <w:color w:val="000000" w:themeColor="text1"/>
          <w:highlight w:val="none"/>
        </w:rPr>
      </w:r>
    </w:p>
    <w:p>
      <w:pPr>
        <w:ind w:firstLine="485"/>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电子邮件：</w:t>
      </w:r>
      <w:r>
        <w:rPr>
          <w:rFonts w:hint="eastAsia" w:cs="宋体" w:asciiTheme="minorEastAsia" w:hAnsiTheme="minorEastAsia" w:eastAsiaTheme="minorEastAsia"/>
          <w:color w:val="000000" w:themeColor="text1"/>
          <w:sz w:val="24"/>
          <w:szCs w:val="24"/>
          <w:highlight w:val="none"/>
          <w:u w:val="single"/>
        </w:rPr>
        <w:t xml:space="preserve">                                     </w:t>
      </w:r>
      <w:r>
        <w:rPr>
          <w:color w:val="000000" w:themeColor="text1"/>
          <w:highlight w:val="none"/>
        </w:rPr>
      </w:r>
    </w:p>
    <w:p>
      <w:pPr>
        <w:ind w:firstLine="485"/>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邮编：</w:t>
      </w:r>
      <w:r>
        <w:rPr>
          <w:rFonts w:hint="eastAsia" w:cs="宋体" w:asciiTheme="minorEastAsia" w:hAnsiTheme="minorEastAsia" w:eastAsiaTheme="minorEastAsia"/>
          <w:color w:val="000000" w:themeColor="text1"/>
          <w:sz w:val="24"/>
          <w:szCs w:val="24"/>
          <w:highlight w:val="none"/>
          <w:u w:val="single"/>
        </w:rPr>
        <w:t xml:space="preserve">                                      </w:t>
      </w:r>
      <w:r>
        <w:rPr>
          <w:color w:val="000000" w:themeColor="text1"/>
          <w:highlight w:val="none"/>
        </w:rPr>
      </w:r>
    </w:p>
    <w:p>
      <w:pPr>
        <w:ind w:firstLine="485"/>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法定代表人或委托代理人(签字或签章)：</w:t>
      </w:r>
      <w:r>
        <w:rPr>
          <w:color w:val="000000" w:themeColor="text1"/>
          <w:highlight w:val="none"/>
        </w:rPr>
      </w:r>
    </w:p>
    <w:p>
      <w:pPr>
        <w:ind w:firstLine="485"/>
        <w:jc w:val="left"/>
        <w:spacing w:line="520" w:lineRule="exact"/>
        <w:widowControl/>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日期：</w:t>
      </w:r>
      <w:r>
        <w:rPr>
          <w:color w:val="000000" w:themeColor="text1"/>
          <w:highlight w:val="none"/>
        </w:rP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p>
      <w:pPr>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br w:type="page" w:clear="all"/>
      </w:r>
      <w:r>
        <w:rPr>
          <w:color w:val="000000" w:themeColor="text1"/>
          <w:highlight w:val="none"/>
        </w:rPr>
      </w:r>
    </w:p>
    <w:p>
      <w:pPr>
        <w:spacing w:line="360" w:lineRule="auto"/>
        <w:widowControl/>
        <w:rPr>
          <w:rFonts w:hint="eastAsia" w:asciiTheme="minorEastAsia" w:hAnsiTheme="minorEastAsia" w:eastAsiaTheme="minorEastAsia"/>
          <w:b/>
          <w:color w:val="000000" w:themeColor="text1"/>
          <w:sz w:val="24"/>
          <w:szCs w:val="24"/>
          <w:highlight w:val="none"/>
          <w:shd w:val="clear" w:color="auto" w:fill="ffffff"/>
        </w:rPr>
      </w:pPr>
      <w:r>
        <w:rPr>
          <w:rFonts w:hint="eastAsia" w:asciiTheme="minorEastAsia" w:hAnsiTheme="minorEastAsia" w:eastAsiaTheme="minorEastAsia"/>
          <w:b/>
          <w:color w:val="000000" w:themeColor="text1"/>
          <w:spacing w:val="6"/>
          <w:sz w:val="24"/>
          <w:szCs w:val="24"/>
          <w:highlight w:val="none"/>
        </w:rPr>
        <w:t xml:space="preserve">1</w:t>
      </w:r>
      <w:r>
        <w:rPr>
          <w:rFonts w:asciiTheme="minorEastAsia" w:hAnsiTheme="minorEastAsia" w:eastAsiaTheme="minorEastAsia"/>
          <w:b/>
          <w:color w:val="000000" w:themeColor="text1"/>
          <w:spacing w:val="6"/>
          <w:sz w:val="24"/>
          <w:szCs w:val="24"/>
          <w:highlight w:val="none"/>
        </w:rPr>
        <w:t xml:space="preserve">3</w:t>
      </w:r>
      <w:r>
        <w:rPr>
          <w:rFonts w:hint="eastAsia" w:asciiTheme="minorEastAsia" w:hAnsiTheme="minorEastAsia" w:eastAsiaTheme="minorEastAsia"/>
          <w:b/>
          <w:color w:val="000000" w:themeColor="text1"/>
          <w:spacing w:val="6"/>
          <w:sz w:val="24"/>
          <w:szCs w:val="24"/>
          <w:highlight w:val="none"/>
        </w:rPr>
        <w:t xml:space="preserve">、</w:t>
      </w:r>
      <w:r>
        <w:rPr>
          <w:color w:val="000000" w:themeColor="text1"/>
          <w:highlight w:val="none"/>
        </w:rPr>
      </w:r>
    </w:p>
    <w:p>
      <w:pPr>
        <w:jc w:val="center"/>
        <w:spacing w:line="360" w:lineRule="auto"/>
        <w:widowControl/>
        <w:rPr>
          <w:rFonts w:hint="eastAsia" w:asciiTheme="minorEastAsia" w:hAnsiTheme="minorEastAsia" w:eastAsiaTheme="minorEastAsia"/>
          <w:b/>
          <w:color w:val="000000" w:themeColor="text1"/>
          <w:sz w:val="24"/>
          <w:szCs w:val="24"/>
          <w:highlight w:val="none"/>
          <w:shd w:val="clear" w:color="auto" w:fill="ffffff"/>
        </w:rPr>
      </w:pPr>
      <w:r>
        <w:rPr>
          <w:color w:val="000000" w:themeColor="text1"/>
          <w:highlight w:val="none"/>
        </w:rPr>
      </w:r>
      <w:bookmarkStart w:id="11" w:name="_Hlk180139451"/>
      <w:r>
        <w:rPr>
          <w:rFonts w:hint="eastAsia" w:asciiTheme="minorEastAsia" w:hAnsiTheme="minorEastAsia" w:eastAsiaTheme="minorEastAsia"/>
          <w:b/>
          <w:color w:val="000000" w:themeColor="text1"/>
          <w:sz w:val="24"/>
          <w:szCs w:val="24"/>
          <w:highlight w:val="none"/>
          <w:shd w:val="clear" w:color="auto" w:fill="ffffff"/>
        </w:rPr>
        <w:t xml:space="preserve">响应单位与其他单位存在控股、管理关系情况表</w:t>
      </w:r>
      <w:bookmarkEnd w:id="11"/>
      <w:r>
        <w:rPr>
          <w:color w:val="000000" w:themeColor="text1"/>
          <w:highlight w:val="none"/>
        </w:rPr>
      </w:r>
      <w:r>
        <w:rPr>
          <w:color w:val="000000" w:themeColor="text1"/>
          <w:highlight w:val="none"/>
        </w:rPr>
      </w:r>
    </w:p>
    <w:tbl>
      <w:tblPr>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3"/>
        <w:gridCol w:w="1704"/>
        <w:gridCol w:w="1506"/>
        <w:gridCol w:w="1580"/>
        <w:gridCol w:w="1084"/>
        <w:gridCol w:w="1711"/>
        <w:gridCol w:w="1268"/>
      </w:tblGrid>
      <w:tr>
        <w:trPr>
          <w:jc w:val="center"/>
          <w:trHeight w:val="766"/>
        </w:trPr>
        <w:tc>
          <w:tcPr>
            <w:gridSpan w:val="4"/>
            <w:tcW w:w="6343"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与</w:t>
            </w:r>
            <w:r>
              <w:rPr>
                <w:rFonts w:hint="eastAsia" w:asciiTheme="minorEastAsia" w:hAnsiTheme="minorEastAsia" w:eastAsiaTheme="minorEastAsia"/>
                <w:b/>
                <w:color w:val="000000" w:themeColor="text1"/>
                <w:sz w:val="24"/>
                <w:szCs w:val="24"/>
                <w:highlight w:val="none"/>
                <w:shd w:val="clear" w:color="auto" w:fill="ffffff"/>
              </w:rPr>
              <w:t xml:space="preserve">响应单位</w:t>
            </w:r>
            <w:r>
              <w:rPr>
                <w:rFonts w:hint="eastAsia" w:asciiTheme="minorEastAsia" w:hAnsiTheme="minorEastAsia" w:eastAsiaTheme="minorEastAsia"/>
                <w:b/>
                <w:color w:val="000000" w:themeColor="text1"/>
                <w:sz w:val="24"/>
                <w:szCs w:val="24"/>
                <w:highlight w:val="none"/>
              </w:rPr>
              <w:t xml:space="preserve">存在直接股权关系</w:t>
            </w:r>
            <w:r>
              <w:rPr>
                <w:color w:val="000000" w:themeColor="text1"/>
                <w:highlight w:val="none"/>
              </w:rPr>
            </w:r>
          </w:p>
        </w:tc>
        <w:tc>
          <w:tcPr>
            <w:gridSpan w:val="3"/>
            <w:tcW w:w="4063"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与</w:t>
            </w:r>
            <w:r>
              <w:rPr>
                <w:rFonts w:hint="eastAsia" w:asciiTheme="minorEastAsia" w:hAnsiTheme="minorEastAsia" w:eastAsiaTheme="minorEastAsia"/>
                <w:b/>
                <w:color w:val="000000" w:themeColor="text1"/>
                <w:sz w:val="24"/>
                <w:szCs w:val="24"/>
                <w:highlight w:val="none"/>
                <w:shd w:val="clear" w:color="auto" w:fill="ffffff"/>
              </w:rPr>
              <w:t xml:space="preserve">响应单位</w:t>
            </w:r>
            <w:r>
              <w:rPr>
                <w:rFonts w:hint="eastAsia" w:asciiTheme="minorEastAsia" w:hAnsiTheme="minorEastAsia" w:eastAsiaTheme="minorEastAsia"/>
                <w:b/>
                <w:color w:val="000000" w:themeColor="text1"/>
                <w:sz w:val="24"/>
                <w:szCs w:val="24"/>
                <w:highlight w:val="none"/>
              </w:rPr>
              <w:t xml:space="preserve">存在直接管理关系</w:t>
            </w:r>
            <w:r>
              <w:rPr>
                <w:color w:val="000000" w:themeColor="text1"/>
                <w:highlight w:val="none"/>
              </w:rPr>
            </w:r>
          </w:p>
        </w:tc>
      </w:tr>
      <w:tr>
        <w:trPr>
          <w:jc w:val="center"/>
          <w:trHeight w:val="768"/>
        </w:trPr>
        <w:tc>
          <w:tcPr>
            <w:tcW w:w="1553"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单位名称</w:t>
            </w:r>
            <w:r>
              <w:rPr>
                <w:color w:val="000000" w:themeColor="text1"/>
                <w:highlight w:val="none"/>
              </w:rPr>
            </w:r>
          </w:p>
        </w:tc>
        <w:tc>
          <w:tcPr>
            <w:tcW w:w="170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是否为大型企业</w:t>
            </w:r>
            <w:r>
              <w:rPr>
                <w:color w:val="000000" w:themeColor="text1"/>
                <w:highlight w:val="none"/>
              </w:rPr>
            </w:r>
          </w:p>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（填写“是”或 “否”）</w:t>
            </w:r>
            <w:r>
              <w:rPr>
                <w:color w:val="000000" w:themeColor="text1"/>
                <w:highlight w:val="none"/>
              </w:rPr>
            </w:r>
          </w:p>
        </w:tc>
        <w:tc>
          <w:tcPr>
            <w:tcW w:w="1506" w:type="dxa"/>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是否直接控股</w:t>
            </w:r>
            <w:r>
              <w:rPr>
                <w:color w:val="000000" w:themeColor="text1"/>
                <w:highlight w:val="none"/>
              </w:rPr>
            </w:r>
          </w:p>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（填写“是”或 “否”）</w:t>
            </w:r>
            <w:r>
              <w:rPr>
                <w:color w:val="000000" w:themeColor="text1"/>
                <w:highlight w:val="none"/>
              </w:rPr>
            </w:r>
          </w:p>
        </w:tc>
        <w:tc>
          <w:tcPr>
            <w:tcW w:w="1580"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直接控股关系情况说明（持股比例等）</w:t>
            </w:r>
            <w:r>
              <w:rPr>
                <w:color w:val="000000" w:themeColor="text1"/>
                <w:highlight w:val="none"/>
              </w:rPr>
            </w:r>
          </w:p>
        </w:tc>
        <w:tc>
          <w:tcPr>
            <w:tcW w:w="108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单位名称</w:t>
            </w:r>
            <w:r>
              <w:rPr>
                <w:color w:val="000000" w:themeColor="text1"/>
                <w:highlight w:val="none"/>
              </w:rPr>
            </w:r>
          </w:p>
        </w:tc>
        <w:tc>
          <w:tcPr>
            <w:tcW w:w="1711"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是否为大型企业</w:t>
            </w:r>
            <w:r>
              <w:rPr>
                <w:color w:val="000000" w:themeColor="text1"/>
                <w:highlight w:val="none"/>
              </w:rPr>
            </w:r>
          </w:p>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（填写“是”或 “否”）</w:t>
            </w:r>
            <w:r>
              <w:rPr>
                <w:color w:val="000000" w:themeColor="text1"/>
                <w:highlight w:val="none"/>
              </w:rPr>
            </w:r>
          </w:p>
        </w:tc>
        <w:tc>
          <w:tcPr>
            <w:tcW w:w="1268"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直接管理关系情况说明</w:t>
            </w:r>
            <w:r>
              <w:rPr>
                <w:color w:val="000000" w:themeColor="text1"/>
                <w:highlight w:val="none"/>
              </w:rP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0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06"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80"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08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11"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268"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0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06"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80"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08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11"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268"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0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06"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80"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08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11"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268"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0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06"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80"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08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11"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268"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0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06"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80"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08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11"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268"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r>
      <w:tr>
        <w:trPr>
          <w:jc w:val="center"/>
          <w:trHeight w:val="850"/>
        </w:trPr>
        <w:tc>
          <w:tcPr>
            <w:tcW w:w="1553"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0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06"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580"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084"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711"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c>
          <w:tcPr>
            <w:tcW w:w="1268" w:type="dxa"/>
            <w:vAlign w:val="center"/>
            <w:textDirection w:val="lrTb"/>
            <w:noWrap w:val="false"/>
          </w:tcPr>
          <w:p>
            <w:pPr>
              <w:jc w:val="center"/>
              <w:widowControl/>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tc>
      </w:tr>
    </w:tbl>
    <w:p>
      <w:pPr>
        <w:ind w:firstLine="566"/>
        <w:spacing w:line="360" w:lineRule="auto"/>
        <w:rPr>
          <w:rFonts w:hint="eastAsia" w:asciiTheme="minorEastAsia" w:hAnsiTheme="minorEastAsia" w:eastAsiaTheme="minorEastAsia"/>
          <w:b/>
          <w:color w:val="000000" w:themeColor="text1"/>
          <w:sz w:val="24"/>
          <w:szCs w:val="24"/>
          <w:highlight w:val="none"/>
        </w:rPr>
        <w:outlineLvl w:val="1"/>
      </w:pPr>
      <w:r>
        <w:rPr>
          <w:rFonts w:hint="eastAsia" w:asciiTheme="minorEastAsia" w:hAnsiTheme="minorEastAsia" w:eastAsiaTheme="minorEastAsia"/>
          <w:b/>
          <w:color w:val="000000" w:themeColor="text1"/>
          <w:sz w:val="24"/>
          <w:szCs w:val="24"/>
          <w:highlight w:val="none"/>
        </w:rPr>
        <w:t xml:space="preserve">注：1、本表仅须填写与投标人存在直接股权、管理关系的企业情况。投标人应按上表要求据实填写，如填写“无”或不填写，均视为投标人声明不存在有关情形。</w:t>
      </w:r>
      <w:r>
        <w:rPr>
          <w:color w:val="000000" w:themeColor="text1"/>
          <w:highlight w:val="none"/>
        </w:rPr>
      </w:r>
    </w:p>
    <w:p>
      <w:pPr>
        <w:ind w:firstLine="566"/>
        <w:spacing w:after="120" w:line="360" w:lineRule="auto"/>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2、其中“直接控股”是指投标人与大型企业之间存在直接投资并控股（非普通持股）的关系。</w:t>
      </w:r>
      <w:r>
        <w:rPr>
          <w:color w:val="000000" w:themeColor="text1"/>
          <w:highlight w:val="none"/>
        </w:rPr>
      </w:r>
    </w:p>
    <w:p>
      <w:pPr>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r>
      <w:r>
        <w:rPr>
          <w:color w:val="000000" w:themeColor="text1"/>
          <w:highlight w:val="none"/>
        </w:rPr>
      </w:r>
    </w:p>
    <w:p>
      <w:pPr>
        <w:pStyle w:val="811"/>
        <w:ind w:firstLine="0"/>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供应商：（公章）</w:t>
      </w:r>
      <w:r>
        <w:rPr>
          <w:color w:val="000000" w:themeColor="text1"/>
          <w:highlight w:val="none"/>
        </w:rPr>
      </w:r>
    </w:p>
    <w:p>
      <w:pPr>
        <w:pStyle w:val="811"/>
        <w:ind w:firstLine="0"/>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法定代表人或代理人（签字或盖章）</w:t>
      </w:r>
      <w:r>
        <w:rPr>
          <w:rFonts w:hint="eastAsia" w:asciiTheme="minorEastAsia" w:hAnsiTheme="minorEastAsia" w:eastAsiaTheme="minorEastAsia"/>
          <w:bCs/>
          <w:color w:val="000000" w:themeColor="text1"/>
          <w:sz w:val="24"/>
          <w:szCs w:val="24"/>
          <w:highlight w:val="none"/>
        </w:rPr>
        <w:t xml:space="preserve">：</w:t>
      </w:r>
      <w:r>
        <w:rPr>
          <w:color w:val="000000" w:themeColor="text1"/>
          <w:highlight w:val="none"/>
        </w:rPr>
      </w:r>
    </w:p>
    <w:p>
      <w:pPr>
        <w:pStyle w:val="811"/>
        <w:ind w:firstLine="0"/>
        <w:spacing w:line="400" w:lineRule="exact"/>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日期</w:t>
      </w:r>
      <w:r>
        <w:rPr>
          <w:rFonts w:asciiTheme="minorEastAsia" w:hAnsiTheme="minorEastAsia" w:eastAsiaTheme="minorEastAsia"/>
          <w:bCs/>
          <w:color w:val="000000" w:themeColor="text1"/>
          <w:sz w:val="24"/>
          <w:szCs w:val="24"/>
          <w:highlight w:val="none"/>
        </w:rPr>
        <w:t xml:space="preserve">:</w:t>
      </w:r>
      <w:r>
        <w:rPr>
          <w:color w:val="000000" w:themeColor="text1"/>
          <w:highlight w:val="none"/>
        </w:rPr>
      </w:r>
    </w:p>
    <w:p>
      <w:pPr>
        <w:spacing w:line="400" w:lineRule="exact"/>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p>
      <w:pPr>
        <w:jc w:val="left"/>
        <w:widowControl/>
        <w:rPr>
          <w:rFonts w:hint="eastAsia" w:cs="宋体" w:asciiTheme="minorEastAsia" w:hAnsiTheme="minorEastAsia" w:eastAsiaTheme="minorEastAsia"/>
          <w:color w:val="000000" w:themeColor="text1"/>
          <w:sz w:val="24"/>
          <w:szCs w:val="24"/>
          <w:highlight w:val="none"/>
        </w:rPr>
      </w:pPr>
      <w:r>
        <w:rPr>
          <w:rFonts w:cs="宋体" w:asciiTheme="minorEastAsia" w:hAnsiTheme="minorEastAsia" w:eastAsiaTheme="minorEastAsia"/>
          <w:color w:val="000000" w:themeColor="text1"/>
          <w:sz w:val="24"/>
          <w:szCs w:val="24"/>
          <w:highlight w:val="none"/>
        </w:rPr>
        <w:br w:type="page" w:clear="all"/>
      </w:r>
      <w:r>
        <w:rPr>
          <w:color w:val="000000" w:themeColor="text1"/>
          <w:highlight w:val="none"/>
        </w:rPr>
      </w:r>
    </w:p>
    <w:p>
      <w:pPr>
        <w:spacing w:line="360" w:lineRule="auto"/>
        <w:rPr>
          <w:rFonts w:hint="eastAsia" w:cs="宋体" w:asciiTheme="minorEastAsia" w:hAnsiTheme="minorEastAsia" w:eastAsiaTheme="minorEastAsia"/>
          <w:b/>
          <w:color w:val="000000" w:themeColor="text1"/>
          <w:sz w:val="24"/>
          <w:szCs w:val="24"/>
          <w:highlight w:val="none"/>
        </w:rPr>
      </w:pPr>
      <w:r>
        <w:rPr>
          <w:rFonts w:hint="eastAsia" w:cs="宋体" w:asciiTheme="minorEastAsia" w:hAnsiTheme="minorEastAsia" w:eastAsiaTheme="minorEastAsia"/>
          <w:b/>
          <w:color w:val="000000" w:themeColor="text1"/>
          <w:sz w:val="24"/>
          <w:szCs w:val="24"/>
          <w:highlight w:val="none"/>
        </w:rPr>
        <w:t xml:space="preserve">1</w:t>
      </w:r>
      <w:r>
        <w:rPr>
          <w:rFonts w:cs="宋体" w:asciiTheme="minorEastAsia" w:hAnsiTheme="minorEastAsia" w:eastAsiaTheme="minorEastAsia"/>
          <w:b/>
          <w:color w:val="000000" w:themeColor="text1"/>
          <w:sz w:val="24"/>
          <w:szCs w:val="24"/>
          <w:highlight w:val="none"/>
        </w:rPr>
        <w:t xml:space="preserve">4</w:t>
      </w:r>
      <w:r>
        <w:rPr>
          <w:rFonts w:hint="eastAsia" w:cs="宋体" w:asciiTheme="minorEastAsia" w:hAnsiTheme="minorEastAsia" w:eastAsiaTheme="minorEastAsia"/>
          <w:b/>
          <w:color w:val="000000" w:themeColor="text1"/>
          <w:sz w:val="24"/>
          <w:szCs w:val="24"/>
          <w:highlight w:val="none"/>
        </w:rPr>
        <w:t xml:space="preserve">、廉洁从业告知函</w:t>
      </w:r>
      <w:r>
        <w:rPr>
          <w:color w:val="000000" w:themeColor="text1"/>
          <w:highlight w:val="none"/>
        </w:rPr>
      </w:r>
    </w:p>
    <w:p>
      <w:pPr>
        <w:jc w:val="center"/>
        <w:spacing w:line="520" w:lineRule="exact"/>
        <w:rPr>
          <w:rFonts w:hint="eastAsia" w:cs="宋体" w:asciiTheme="minorEastAsia" w:hAnsiTheme="minorEastAsia" w:eastAsiaTheme="minorEastAsia"/>
          <w:b/>
          <w:bCs/>
          <w:color w:val="000000" w:themeColor="text1"/>
          <w:sz w:val="24"/>
          <w:szCs w:val="24"/>
          <w:highlight w:val="none"/>
        </w:rPr>
      </w:pPr>
      <w:r>
        <w:rPr>
          <w:rFonts w:hint="eastAsia" w:cs="宋体" w:asciiTheme="minorEastAsia" w:hAnsiTheme="minorEastAsia" w:eastAsiaTheme="minorEastAsia"/>
          <w:b/>
          <w:bCs/>
          <w:color w:val="000000" w:themeColor="text1"/>
          <w:sz w:val="24"/>
          <w:szCs w:val="24"/>
          <w:highlight w:val="none"/>
        </w:rPr>
        <w:t xml:space="preserve">苏州市民政局干部职工廉洁从业告知函</w:t>
      </w:r>
      <w:r>
        <w:rPr>
          <w:color w:val="000000" w:themeColor="text1"/>
          <w:highlight w:val="none"/>
        </w:rPr>
      </w:r>
    </w:p>
    <w:p>
      <w:pPr>
        <w:jc w:val="center"/>
        <w:spacing w:line="52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r>
      <w:r>
        <w:rPr>
          <w:color w:val="000000" w:themeColor="text1"/>
          <w:highlight w:val="none"/>
        </w:rPr>
      </w:r>
    </w:p>
    <w:p>
      <w:pPr>
        <w:ind w:firstLine="640"/>
        <w:spacing w:line="52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欢迎贵单位参加我局组织的</w:t>
      </w:r>
      <w:r>
        <w:rPr>
          <w:rFonts w:hint="eastAsia" w:cs="宋体" w:asciiTheme="minorEastAsia" w:hAnsiTheme="minorEastAsia" w:eastAsiaTheme="minorEastAsia"/>
          <w:b/>
          <w:bCs/>
          <w:color w:val="000000" w:themeColor="text1"/>
          <w:sz w:val="24"/>
          <w:szCs w:val="24"/>
          <w:highlight w:val="none"/>
          <w:u w:val="single"/>
        </w:rPr>
        <w:t xml:space="preserve">残疾儿童及青少年康复教育训练</w:t>
      </w:r>
      <w:r>
        <w:rPr>
          <w:rFonts w:hint="eastAsia" w:cs="宋体" w:asciiTheme="minorEastAsia" w:hAnsiTheme="minorEastAsia" w:eastAsiaTheme="minorEastAsia"/>
          <w:color w:val="000000" w:themeColor="text1"/>
          <w:sz w:val="24"/>
          <w:szCs w:val="24"/>
          <w:highlight w:val="none"/>
        </w:rPr>
        <w:t xml:space="preserve">项目招投标。我局要求所有干部职工在组织政府采购过程中，严格遵守党纪党规和国家法律法规。</w:t>
      </w:r>
      <w:r>
        <w:rPr>
          <w:color w:val="000000" w:themeColor="text1"/>
          <w:highlight w:val="none"/>
        </w:rPr>
      </w:r>
    </w:p>
    <w:p>
      <w:pPr>
        <w:ind w:firstLine="640"/>
        <w:spacing w:line="52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请贵单位在参加我局政府采购过程中，协助监督我局干部职工以下禁止性行为：（1）严禁接收任何手续费、回扣等；（2）严禁接收红包、购物卡、有价证券及贵重物品等；（3）严禁接受宴请、旅游邀请等违反中央八项规定及其实施细则精神的行为；（4）严禁在贵单位报销任何个人费用；（5）严禁向贵单位或个人借用钱款、住房、车辆等；（6）严禁向贵单位提出与本政府采购业务无关的任何要求；（7）严禁违反党纪党规和国家法律法规明令禁止的其他行为。</w:t>
      </w:r>
      <w:r>
        <w:rPr>
          <w:color w:val="000000" w:themeColor="text1"/>
          <w:highlight w:val="none"/>
        </w:rPr>
      </w:r>
    </w:p>
    <w:p>
      <w:pPr>
        <w:ind w:firstLine="640"/>
        <w:spacing w:line="52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如发现我局干部职工有违反以上规定的，请及时向我局机关纪委（联系电话：0512—82280374，邮箱：jgdw@mzj.suzhou.gov.cn）反映，我局将依规依纪依法处置。如贵单位在参与我局政府采购业务中主导或参与上述违纪违法行为，或发现我局干部职工存在上述违纪违法行为而刻意隐瞒，一经查实，我局将有权终止与贵单位的合作。</w:t>
      </w:r>
      <w:r>
        <w:rPr>
          <w:color w:val="000000" w:themeColor="text1"/>
          <w:highlight w:val="none"/>
        </w:rPr>
      </w:r>
    </w:p>
    <w:p>
      <w:pPr>
        <w:ind w:firstLine="640"/>
        <w:spacing w:line="52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特此函告，请予支持。</w:t>
      </w:r>
      <w:r>
        <w:rPr>
          <w:color w:val="000000" w:themeColor="text1"/>
          <w:highlight w:val="none"/>
        </w:rPr>
      </w:r>
    </w:p>
    <w:p>
      <w:pPr>
        <w:spacing w:line="52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r>
      <w:r>
        <w:rPr>
          <w:color w:val="000000" w:themeColor="text1"/>
          <w:highlight w:val="none"/>
        </w:rPr>
      </w:r>
    </w:p>
    <w:p>
      <w:pPr>
        <w:ind w:firstLine="3360"/>
        <w:jc w:val="right"/>
        <w:spacing w:line="52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苏州市民政局机关纪委</w:t>
      </w:r>
      <w:r>
        <w:rPr>
          <w:color w:val="000000" w:themeColor="text1"/>
          <w:highlight w:val="none"/>
        </w:rPr>
      </w:r>
    </w:p>
    <w:p>
      <w:pPr>
        <w:ind w:firstLine="4080"/>
        <w:jc w:val="right"/>
        <w:spacing w:line="52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202</w:t>
      </w:r>
      <w:r>
        <w:rPr>
          <w:rFonts w:cs="宋体" w:asciiTheme="minorEastAsia" w:hAnsiTheme="minorEastAsia" w:eastAsiaTheme="minorEastAsia"/>
          <w:color w:val="000000" w:themeColor="text1"/>
          <w:sz w:val="24"/>
          <w:szCs w:val="24"/>
          <w:highlight w:val="none"/>
        </w:rPr>
        <w:t xml:space="preserve">5</w:t>
      </w:r>
      <w:r>
        <w:rPr>
          <w:rFonts w:hint="eastAsia" w:cs="宋体" w:asciiTheme="minorEastAsia" w:hAnsiTheme="minorEastAsia" w:eastAsiaTheme="minorEastAsia"/>
          <w:color w:val="000000" w:themeColor="text1"/>
          <w:sz w:val="24"/>
          <w:szCs w:val="24"/>
          <w:highlight w:val="none"/>
        </w:rPr>
        <w:t xml:space="preserve">年</w:t>
      </w:r>
      <w:r>
        <w:rPr>
          <w:rFonts w:cs="宋体" w:asciiTheme="minorEastAsia" w:hAnsiTheme="minorEastAsia" w:eastAsiaTheme="minorEastAsia"/>
          <w:color w:val="000000" w:themeColor="text1"/>
          <w:sz w:val="24"/>
          <w:szCs w:val="24"/>
          <w:highlight w:val="none"/>
        </w:rPr>
        <w:t xml:space="preserve">11</w:t>
      </w:r>
      <w:r>
        <w:rPr>
          <w:rFonts w:hint="eastAsia" w:cs="宋体" w:asciiTheme="minorEastAsia" w:hAnsiTheme="minorEastAsia" w:eastAsiaTheme="minorEastAsia"/>
          <w:color w:val="000000" w:themeColor="text1"/>
          <w:sz w:val="24"/>
          <w:szCs w:val="24"/>
          <w:highlight w:val="none"/>
        </w:rPr>
        <w:t xml:space="preserve">月</w:t>
      </w:r>
      <w:r>
        <w:rPr>
          <w:color w:val="000000" w:themeColor="text1"/>
          <w:highlight w:val="none"/>
        </w:rPr>
      </w:r>
    </w:p>
    <w:p>
      <w:pPr>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r>
      <w:r>
        <w:rPr>
          <w:color w:val="000000" w:themeColor="text1"/>
          <w:highlight w:val="none"/>
        </w:rPr>
      </w:r>
    </w:p>
    <w:p>
      <w:pPr>
        <w:jc w:val="left"/>
        <w:widowControl/>
        <w:rPr>
          <w:rFonts w:hint="eastAsia" w:cs="宋体" w:asciiTheme="minorEastAsia" w:hAnsiTheme="minorEastAsia" w:eastAsiaTheme="minorEastAsia"/>
          <w:color w:val="000000" w:themeColor="text1"/>
          <w:sz w:val="24"/>
          <w:szCs w:val="24"/>
          <w:highlight w:val="none"/>
        </w:rPr>
      </w:pPr>
      <w:r>
        <w:rPr>
          <w:rFonts w:cs="宋体" w:asciiTheme="minorEastAsia" w:hAnsiTheme="minorEastAsia" w:eastAsiaTheme="minorEastAsia"/>
          <w:color w:val="000000" w:themeColor="text1"/>
          <w:sz w:val="24"/>
          <w:szCs w:val="24"/>
          <w:highlight w:val="none"/>
        </w:rPr>
        <w:br w:type="page" w:clear="all"/>
      </w:r>
      <w:r>
        <w:rPr>
          <w:color w:val="000000" w:themeColor="text1"/>
          <w:highlight w:val="none"/>
        </w:rPr>
      </w:r>
    </w:p>
    <w:p>
      <w:pPr>
        <w:jc w:val="center"/>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回  执</w:t>
      </w:r>
      <w:r>
        <w:rPr>
          <w:color w:val="000000" w:themeColor="text1"/>
          <w:highlight w:val="none"/>
        </w:rPr>
      </w:r>
    </w:p>
    <w:p>
      <w:pPr>
        <w:jc w:val="left"/>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r>
      <w:r>
        <w:rPr>
          <w:color w:val="000000" w:themeColor="text1"/>
          <w:highlight w:val="none"/>
        </w:rPr>
      </w:r>
    </w:p>
    <w:p>
      <w:pPr>
        <w:jc w:val="left"/>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苏州市民政局机关纪委：</w:t>
      </w:r>
      <w:r>
        <w:rPr>
          <w:color w:val="000000" w:themeColor="text1"/>
          <w:highlight w:val="none"/>
        </w:rPr>
      </w:r>
    </w:p>
    <w:p>
      <w:pPr>
        <w:ind w:firstLine="640"/>
        <w:jc w:val="left"/>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贵局</w:t>
      </w:r>
      <w:r>
        <w:rPr>
          <w:rFonts w:hint="eastAsia" w:cs="宋体" w:asciiTheme="minorEastAsia" w:hAnsiTheme="minorEastAsia" w:eastAsiaTheme="minorEastAsia"/>
          <w:b/>
          <w:bCs/>
          <w:color w:val="000000" w:themeColor="text1"/>
          <w:sz w:val="24"/>
          <w:szCs w:val="24"/>
          <w:highlight w:val="none"/>
          <w:u w:val="single"/>
        </w:rPr>
        <w:t xml:space="preserve">残疾儿童及青少年康复教育训练</w:t>
      </w:r>
      <w:r>
        <w:rPr>
          <w:rFonts w:hint="eastAsia" w:cs="宋体" w:asciiTheme="minorEastAsia" w:hAnsiTheme="minorEastAsia" w:eastAsiaTheme="minorEastAsia"/>
          <w:color w:val="000000" w:themeColor="text1"/>
          <w:sz w:val="24"/>
          <w:szCs w:val="24"/>
          <w:highlight w:val="none"/>
        </w:rPr>
        <w:t xml:space="preserve">政府采购项目组已向我司提供《苏州市民政局干部职工廉洁从业告知函》。</w:t>
      </w:r>
      <w:r>
        <w:rPr>
          <w:color w:val="000000" w:themeColor="text1"/>
          <w:highlight w:val="none"/>
        </w:rPr>
      </w:r>
    </w:p>
    <w:p>
      <w:pPr>
        <w:ind w:firstLine="640"/>
        <w:jc w:val="left"/>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我司已认真阅读并知悉贵局告知函的具体内容，承诺将积极配合贵局项目组严格遵守相关规定。如发现贵局干部职工存在违纪违法行为，将及时主动向贵局机关纪委反映。</w:t>
      </w:r>
      <w:r>
        <w:rPr>
          <w:color w:val="000000" w:themeColor="text1"/>
          <w:highlight w:val="none"/>
        </w:rPr>
      </w:r>
    </w:p>
    <w:p>
      <w:pPr>
        <w:ind w:firstLine="640"/>
        <w:jc w:val="left"/>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r>
      <w:r>
        <w:rPr>
          <w:color w:val="000000" w:themeColor="text1"/>
          <w:highlight w:val="none"/>
        </w:rPr>
      </w:r>
    </w:p>
    <w:p>
      <w:pPr>
        <w:ind w:firstLine="3600"/>
        <w:jc w:val="left"/>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r>
      <w:r>
        <w:rPr>
          <w:color w:val="000000" w:themeColor="text1"/>
          <w:highlight w:val="none"/>
        </w:rPr>
      </w:r>
    </w:p>
    <w:p>
      <w:pPr>
        <w:ind w:firstLine="3600"/>
        <w:jc w:val="left"/>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r>
      <w:r>
        <w:rPr>
          <w:color w:val="000000" w:themeColor="text1"/>
          <w:highlight w:val="none"/>
        </w:rPr>
      </w:r>
    </w:p>
    <w:p>
      <w:pPr>
        <w:ind w:firstLine="3360"/>
        <w:jc w:val="right"/>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单位名称（加盖公章）：</w:t>
      </w:r>
      <w:r>
        <w:rPr>
          <w:color w:val="000000" w:themeColor="text1"/>
          <w:highlight w:val="none"/>
        </w:rPr>
      </w:r>
    </w:p>
    <w:p>
      <w:pPr>
        <w:ind w:firstLine="3840"/>
        <w:jc w:val="right"/>
        <w:spacing w:line="580" w:lineRule="exact"/>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t xml:space="preserve">年  月  日</w:t>
      </w:r>
      <w:r>
        <w:rPr>
          <w:color w:val="000000" w:themeColor="text1"/>
          <w:highlight w:val="none"/>
        </w:rPr>
      </w:r>
    </w:p>
    <w:p>
      <w:pPr>
        <w:spacing w:line="360" w:lineRule="auto"/>
        <w:rPr>
          <w:rFonts w:hint="eastAsia" w:cs="宋体" w:asciiTheme="minorEastAsia" w:hAnsiTheme="minorEastAsia" w:eastAsiaTheme="minorEastAsia"/>
          <w:b/>
          <w:color w:val="000000" w:themeColor="text1"/>
          <w:sz w:val="24"/>
          <w:szCs w:val="24"/>
          <w:highlight w:val="none"/>
        </w:rPr>
      </w:pPr>
      <w:r>
        <w:rPr>
          <w:rFonts w:hint="eastAsia" w:cs="宋体" w:asciiTheme="minorEastAsia" w:hAnsiTheme="minorEastAsia" w:eastAsiaTheme="minorEastAsia"/>
          <w:b/>
          <w:color w:val="000000" w:themeColor="text1"/>
          <w:sz w:val="24"/>
          <w:szCs w:val="24"/>
          <w:highlight w:val="none"/>
        </w:rPr>
      </w:r>
      <w:r>
        <w:rPr>
          <w:color w:val="000000" w:themeColor="text1"/>
          <w:highlight w:val="none"/>
        </w:rPr>
      </w:r>
    </w:p>
    <w:p>
      <w:pPr>
        <w:spacing w:line="360" w:lineRule="auto"/>
        <w:rPr>
          <w:rFonts w:hint="eastAsia" w:cs="宋体" w:asciiTheme="minorEastAsia" w:hAnsiTheme="minorEastAsia" w:eastAsiaTheme="minorEastAsia"/>
          <w:b/>
          <w:color w:val="000000" w:themeColor="text1"/>
          <w:sz w:val="24"/>
          <w:szCs w:val="24"/>
          <w:highlight w:val="none"/>
        </w:rPr>
      </w:pPr>
      <w:r>
        <w:rPr>
          <w:rFonts w:hint="eastAsia" w:cs="宋体" w:asciiTheme="minorEastAsia" w:hAnsiTheme="minorEastAsia" w:eastAsiaTheme="minorEastAsia"/>
          <w:b/>
          <w:color w:val="000000" w:themeColor="text1"/>
          <w:sz w:val="24"/>
          <w:szCs w:val="24"/>
          <w:highlight w:val="none"/>
        </w:rPr>
      </w:r>
      <w:r>
        <w:rPr>
          <w:color w:val="000000" w:themeColor="text1"/>
          <w:highlight w:val="none"/>
        </w:rPr>
      </w:r>
    </w:p>
    <w:p>
      <w:pPr>
        <w:jc w:val="left"/>
        <w:widowControl/>
        <w:rPr>
          <w:rFonts w:hint="eastAsia" w:cs="宋体" w:asciiTheme="minorEastAsia" w:hAnsiTheme="minorEastAsia" w:eastAsiaTheme="minorEastAsia"/>
          <w:b/>
          <w:bCs/>
          <w:color w:val="000000" w:themeColor="text1"/>
          <w:sz w:val="24"/>
          <w:szCs w:val="24"/>
          <w:highlight w:val="none"/>
        </w:rPr>
      </w:pPr>
      <w:r>
        <w:rPr>
          <w:rFonts w:hint="eastAsia" w:cs="宋体" w:asciiTheme="minorEastAsia" w:hAnsiTheme="minorEastAsia" w:eastAsiaTheme="minorEastAsia"/>
          <w:b/>
          <w:bCs/>
          <w:color w:val="000000" w:themeColor="text1"/>
          <w:sz w:val="24"/>
          <w:szCs w:val="24"/>
          <w:highlight w:val="none"/>
        </w:rPr>
      </w:r>
      <w:r>
        <w:rPr>
          <w:color w:val="000000" w:themeColor="text1"/>
          <w:highlight w:val="none"/>
        </w:rPr>
      </w:r>
    </w:p>
    <w:p>
      <w:pPr>
        <w:jc w:val="right"/>
        <w:widowControl/>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p>
    <w:p>
      <w:pPr>
        <w:spacing w:line="360" w:lineRule="auto"/>
        <w:rPr>
          <w:rFonts w:hint="eastAsia" w:cs="宋体"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color w:val="000000" w:themeColor="text1"/>
          <w:sz w:val="24"/>
          <w:szCs w:val="24"/>
          <w:highlight w:val="none"/>
        </w:rPr>
      </w:r>
      <w:r>
        <w:rPr>
          <w:color w:val="000000" w:themeColor="text1"/>
          <w:highlight w:val="none"/>
        </w:rPr>
      </w:r>
    </w:p>
    <w:p>
      <w:pPr>
        <w:jc w:val="right"/>
        <w:rPr>
          <w:b/>
          <w:bCs/>
          <w:color w:val="000000" w:themeColor="text1"/>
          <w:sz w:val="24"/>
          <w:szCs w:val="28"/>
          <w:highlight w:val="none"/>
        </w:rPr>
      </w:pPr>
      <w:r>
        <w:rPr>
          <w:rFonts w:hint="eastAsia" w:ascii="宋体" w:hAnsi="宋体" w:cs="宋体"/>
          <w:b/>
          <w:bCs/>
          <w:color w:val="000000" w:themeColor="text1"/>
          <w:sz w:val="24"/>
          <w:szCs w:val="28"/>
          <w:highlight w:val="none"/>
        </w:rPr>
        <w:t xml:space="preserve">（全文完）</w:t>
      </w:r>
      <w:r>
        <w:rPr>
          <w:color w:val="000000" w:themeColor="text1"/>
          <w:highlight w:val="none"/>
        </w:rPr>
      </w:r>
    </w:p>
    <w:p>
      <w:pPr>
        <w:pStyle w:val="842"/>
        <w:spacing w:before="75" w:beforeAutospacing="0" w:after="75" w:afterAutospacing="0"/>
        <w:widowControl/>
        <w:rPr>
          <w:color w:val="000000" w:themeColor="text1"/>
          <w:highlight w:val="none"/>
        </w:rPr>
      </w:pPr>
      <w:r>
        <w:rPr>
          <w:color w:val="000000" w:themeColor="text1"/>
          <w:highlight w:val="none"/>
        </w:rPr>
      </w:r>
      <w:r>
        <w:rPr>
          <w:color w:val="000000" w:themeColor="text1"/>
          <w:highlight w:val="none"/>
        </w:rPr>
      </w:r>
    </w:p>
    <w:sectPr>
      <w:footerReference w:type="default" r:id="rId9"/>
      <w:footnotePr/>
      <w:endnotePr/>
      <w:type w:val="nextPage"/>
      <w:pgSz w:w="11906" w:h="16838" w:orient="portrait"/>
      <w:pgMar w:top="720" w:right="1077" w:bottom="720"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ans-serif">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50"/>
      </w:rPr>
      <w:framePr w:wrap="around" w:vAnchor="text" w:hAnchor="margin" w:xAlign="center" w:y="1"/>
    </w:pPr>
    <w:r>
      <w:rPr>
        <w:rStyle w:val="850"/>
      </w:rPr>
      <w:fldChar w:fldCharType="begin"/>
    </w:r>
    <w:r>
      <w:rPr>
        <w:rStyle w:val="850"/>
      </w:rPr>
      <w:instrText xml:space="preserve">PAGE  </w:instrText>
    </w:r>
    <w:r>
      <w:rPr>
        <w:rStyle w:val="850"/>
      </w:rPr>
      <w:fldChar w:fldCharType="separate"/>
    </w:r>
    <w:r>
      <w:rPr>
        <w:rStyle w:val="850"/>
      </w:rPr>
      <w:t xml:space="preserve">26</w:t>
    </w:r>
    <w:r>
      <w:rPr>
        <w:rStyle w:val="850"/>
      </w:rPr>
      <w:fldChar w:fldCharType="end"/>
    </w:r>
    <w:r/>
  </w:p>
  <w:p>
    <w:pPr>
      <w:pStyle w:val="828"/>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1"/>
      <w:numFmt w:val="chineseCountingThousand"/>
      <w:isLgl w:val="false"/>
      <w:suff w:val="tab"/>
      <w:lvlText w:val="(%1)"/>
      <w:lvlJc w:val="left"/>
      <w:pPr>
        <w:ind w:left="840" w:hanging="420"/>
      </w:pPr>
      <w:rPr>
        <w:b/>
      </w:rPr>
    </w:lvl>
    <w:lvl w:ilvl="1">
      <w:start w:val="1"/>
      <w:numFmt w:val="lowerLetter"/>
      <w:isLgl w:val="false"/>
      <w:suff w:val="tab"/>
      <w:lvlText w:val="%2)"/>
      <w:lvlJc w:val="left"/>
      <w:pPr>
        <w:ind w:left="1260" w:hanging="420"/>
      </w:pPr>
    </w:lvl>
    <w:lvl w:ilvl="2">
      <w:start w:val="1"/>
      <w:numFmt w:val="japaneseCounting"/>
      <w:isLgl w:val="false"/>
      <w:suff w:val="tab"/>
      <w:lvlText w:val="%3、"/>
      <w:lvlJc w:val="left"/>
      <w:pPr>
        <w:ind w:left="1710" w:hanging="450"/>
      </w:pPr>
      <w:rPr>
        <w:rFonts w:cs="宋体"/>
        <w:b/>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5" w:hanging="425"/>
      </w:pPr>
    </w:lvl>
    <w:lvl w:ilvl="1">
      <w:start w:val="1"/>
      <w:numFmt w:val="decimal"/>
      <w:isLgl w:val="false"/>
      <w:suff w:val="tab"/>
      <w:lvlText w:val="%1.%2."/>
      <w:lvlJc w:val="left"/>
      <w:pPr>
        <w:ind w:left="987" w:hanging="567"/>
      </w:pPr>
    </w:lvl>
    <w:lvl w:ilvl="2">
      <w:start w:val="1"/>
      <w:numFmt w:val="decimal"/>
      <w:isLgl w:val="false"/>
      <w:suff w:val="tab"/>
      <w:lvlText w:val="%1.%2.%3."/>
      <w:lvlJc w:val="left"/>
      <w:pPr>
        <w:ind w:left="1129" w:hanging="709"/>
      </w:pPr>
    </w:lvl>
    <w:lvl w:ilvl="3">
      <w:start w:val="1"/>
      <w:numFmt w:val="decimal"/>
      <w:isLgl w:val="false"/>
      <w:suff w:val="tab"/>
      <w:lvlText w:val="%1.%2.%3.%4."/>
      <w:lvlJc w:val="left"/>
      <w:pPr>
        <w:ind w:left="1271" w:hanging="851"/>
      </w:pPr>
    </w:lvl>
    <w:lvl w:ilvl="4">
      <w:start w:val="1"/>
      <w:numFmt w:val="decimal"/>
      <w:isLgl w:val="false"/>
      <w:suff w:val="tab"/>
      <w:lvlText w:val="%1.%2.%3.%4.%5."/>
      <w:lvlJc w:val="left"/>
      <w:pPr>
        <w:ind w:left="1412" w:hanging="992"/>
      </w:pPr>
    </w:lvl>
    <w:lvl w:ilvl="5">
      <w:start w:val="1"/>
      <w:numFmt w:val="decimal"/>
      <w:isLgl w:val="false"/>
      <w:suff w:val="tab"/>
      <w:lvlText w:val="%1.%2.%3.%4.%5.%6."/>
      <w:lvlJc w:val="left"/>
      <w:pPr>
        <w:ind w:left="1554" w:hanging="1134"/>
      </w:pPr>
    </w:lvl>
    <w:lvl w:ilvl="6">
      <w:start w:val="1"/>
      <w:numFmt w:val="decimal"/>
      <w:isLgl w:val="false"/>
      <w:suff w:val="tab"/>
      <w:lvlText w:val="%1.%2.%3.%4.%5.%6.%7."/>
      <w:lvlJc w:val="left"/>
      <w:pPr>
        <w:ind w:left="1696" w:hanging="1276"/>
      </w:pPr>
    </w:lvl>
    <w:lvl w:ilvl="7">
      <w:start w:val="1"/>
      <w:numFmt w:val="decimal"/>
      <w:isLgl w:val="false"/>
      <w:suff w:val="tab"/>
      <w:lvlText w:val="%1.%2.%3.%4.%5.%6.%7.%8."/>
      <w:lvlJc w:val="left"/>
      <w:pPr>
        <w:ind w:left="1838" w:hanging="1418"/>
      </w:pPr>
    </w:lvl>
    <w:lvl w:ilvl="8">
      <w:start w:val="1"/>
      <w:numFmt w:val="decimal"/>
      <w:isLgl w:val="false"/>
      <w:suff w:val="tab"/>
      <w:lvlText w:val="%1.%2.%3.%4.%5.%6.%7.%8.%9."/>
      <w:lvlJc w:val="left"/>
      <w:pPr>
        <w:ind w:left="1979" w:hanging="1559"/>
      </w:pPr>
    </w:lvl>
  </w:abstractNum>
  <w:abstractNum w:abstractNumId="4">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chineseCountingThousand"/>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ascii="宋体" w:hAnsi="宋体" w:eastAsia="宋体"/>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680" w:hanging="420"/>
      </w:pPr>
    </w:lvl>
    <w:lvl w:ilvl="1">
      <w:start w:val="4"/>
      <w:numFmt w:val="japaneseCounting"/>
      <w:isLgl w:val="false"/>
      <w:suff w:val="tab"/>
      <w:lvlText w:val="%2、"/>
      <w:lvlJc w:val="left"/>
      <w:pPr>
        <w:ind w:left="2100" w:hanging="420"/>
      </w:pPr>
      <w:rPr>
        <w:rFonts w:hint="default"/>
      </w:rPr>
    </w:lvl>
    <w:lvl w:ilvl="2">
      <w:start w:val="1"/>
      <w:numFmt w:val="lowerRoman"/>
      <w:isLgl w:val="false"/>
      <w:suff w:val="tab"/>
      <w:lvlText w:val="%3."/>
      <w:lvlJc w:val="right"/>
      <w:pPr>
        <w:ind w:left="2520" w:hanging="420"/>
      </w:pPr>
    </w:lvl>
    <w:lvl w:ilvl="3">
      <w:start w:val="1"/>
      <w:numFmt w:val="decimal"/>
      <w:isLgl w:val="false"/>
      <w:suff w:val="tab"/>
      <w:lvlText w:val="%4."/>
      <w:lvlJc w:val="left"/>
      <w:pPr>
        <w:ind w:left="2940" w:hanging="420"/>
      </w:pPr>
    </w:lvl>
    <w:lvl w:ilvl="4">
      <w:start w:val="1"/>
      <w:numFmt w:val="lowerLetter"/>
      <w:isLgl w:val="false"/>
      <w:suff w:val="tab"/>
      <w:lvlText w:val="%5)"/>
      <w:lvlJc w:val="left"/>
      <w:pPr>
        <w:ind w:left="3360" w:hanging="420"/>
      </w:pPr>
    </w:lvl>
    <w:lvl w:ilvl="5">
      <w:start w:val="1"/>
      <w:numFmt w:val="lowerRoman"/>
      <w:isLgl w:val="false"/>
      <w:suff w:val="tab"/>
      <w:lvlText w:val="%6."/>
      <w:lvlJc w:val="right"/>
      <w:pPr>
        <w:ind w:left="3780" w:hanging="420"/>
      </w:pPr>
    </w:lvl>
    <w:lvl w:ilvl="6">
      <w:start w:val="1"/>
      <w:numFmt w:val="decimal"/>
      <w:isLgl w:val="false"/>
      <w:suff w:val="tab"/>
      <w:lvlText w:val="%7."/>
      <w:lvlJc w:val="left"/>
      <w:pPr>
        <w:ind w:left="4200" w:hanging="420"/>
      </w:pPr>
    </w:lvl>
    <w:lvl w:ilvl="7">
      <w:start w:val="1"/>
      <w:numFmt w:val="lowerLetter"/>
      <w:isLgl w:val="false"/>
      <w:suff w:val="tab"/>
      <w:lvlText w:val="%8)"/>
      <w:lvlJc w:val="left"/>
      <w:pPr>
        <w:ind w:left="4620" w:hanging="420"/>
      </w:pPr>
    </w:lvl>
    <w:lvl w:ilvl="8">
      <w:start w:val="1"/>
      <w:numFmt w:val="lowerRoman"/>
      <w:isLgl w:val="false"/>
      <w:suff w:val="tab"/>
      <w:lvlText w:val="%9."/>
      <w:lvlJc w:val="right"/>
      <w:pPr>
        <w:ind w:left="5040" w:hanging="420"/>
      </w:pPr>
    </w:lvl>
  </w:abstractNum>
  <w:abstractNum w:abstractNumId="9">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2">
    <w:multiLevelType w:val="hybridMultilevel"/>
    <w:lvl w:ilvl="0">
      <w:start w:val="1"/>
      <w:numFmt w:val="decimal"/>
      <w:isLgl w:val="false"/>
      <w:suff w:val="tab"/>
      <w:lvlText w:val="%1."/>
      <w:lvlJc w:val="left"/>
      <w:pPr>
        <w:ind w:left="420" w:hanging="420"/>
        <w:tabs>
          <w:tab w:val="left" w:pos="420" w:leader="none"/>
        </w:tabs>
      </w:pPr>
      <w:rPr>
        <w:rFonts w:hint="eastAsia" w:ascii="宋体" w:hAnsi="宋体" w:eastAsia="宋体"/>
      </w:rPr>
    </w:lvl>
    <w:lvl w:ilvl="1">
      <w:start w:val="1"/>
      <w:numFmt w:val="japaneseCounting"/>
      <w:isLgl w:val="false"/>
      <w:suff w:val="tab"/>
      <w:lvlText w:val="%2、"/>
      <w:lvlJc w:val="left"/>
      <w:pPr>
        <w:ind w:left="945" w:hanging="525"/>
      </w:pPr>
      <w:rPr>
        <w:rFonts w:hint="default" w:ascii="宋体" w:hAnsi="宋体"/>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decimal"/>
      <w:isLgl w:val="false"/>
      <w:suff w:val="tab"/>
      <w:lvlText w:val="%1."/>
      <w:lvlJc w:val="left"/>
      <w:pPr>
        <w:ind w:left="993" w:hanging="425"/>
      </w:pPr>
    </w:lvl>
    <w:lvl w:ilvl="1">
      <w:start w:val="1"/>
      <w:numFmt w:val="none"/>
      <w:isLgl w:val="false"/>
      <w:suff w:val="tab"/>
      <w:lvlText w:val=""/>
      <w:lvlJc w:val="left"/>
      <w:pPr>
        <w:tabs>
          <w:tab w:val="num" w:pos="508" w:leader="none"/>
        </w:tabs>
      </w:pPr>
    </w:lvl>
    <w:lvl w:ilvl="2">
      <w:start w:val="1"/>
      <w:numFmt w:val="none"/>
      <w:isLgl w:val="false"/>
      <w:suff w:val="tab"/>
      <w:lvlText w:val=""/>
      <w:lvlJc w:val="left"/>
      <w:pPr>
        <w:tabs>
          <w:tab w:val="num" w:pos="508" w:leader="none"/>
        </w:tabs>
      </w:pPr>
    </w:lvl>
    <w:lvl w:ilvl="3">
      <w:start w:val="1"/>
      <w:numFmt w:val="none"/>
      <w:isLgl w:val="false"/>
      <w:suff w:val="tab"/>
      <w:lvlText w:val=""/>
      <w:lvlJc w:val="left"/>
      <w:pPr>
        <w:tabs>
          <w:tab w:val="num" w:pos="508" w:leader="none"/>
        </w:tabs>
      </w:pPr>
    </w:lvl>
    <w:lvl w:ilvl="4">
      <w:start w:val="1"/>
      <w:numFmt w:val="none"/>
      <w:isLgl w:val="false"/>
      <w:suff w:val="tab"/>
      <w:lvlText w:val=""/>
      <w:lvlJc w:val="left"/>
      <w:pPr>
        <w:tabs>
          <w:tab w:val="num" w:pos="508" w:leader="none"/>
        </w:tabs>
      </w:pPr>
    </w:lvl>
    <w:lvl w:ilvl="5">
      <w:start w:val="1"/>
      <w:numFmt w:val="none"/>
      <w:isLgl w:val="false"/>
      <w:suff w:val="tab"/>
      <w:lvlText w:val=""/>
      <w:lvlJc w:val="left"/>
      <w:pPr>
        <w:tabs>
          <w:tab w:val="num" w:pos="508" w:leader="none"/>
        </w:tabs>
      </w:pPr>
    </w:lvl>
    <w:lvl w:ilvl="6">
      <w:start w:val="1"/>
      <w:numFmt w:val="none"/>
      <w:isLgl w:val="false"/>
      <w:suff w:val="tab"/>
      <w:lvlText w:val=""/>
      <w:lvlJc w:val="left"/>
      <w:pPr>
        <w:tabs>
          <w:tab w:val="num" w:pos="508" w:leader="none"/>
        </w:tabs>
      </w:pPr>
    </w:lvl>
    <w:lvl w:ilvl="7">
      <w:start w:val="1"/>
      <w:numFmt w:val="none"/>
      <w:isLgl w:val="false"/>
      <w:suff w:val="tab"/>
      <w:lvlText w:val=""/>
      <w:lvlJc w:val="left"/>
      <w:pPr>
        <w:tabs>
          <w:tab w:val="num" w:pos="508" w:leader="none"/>
        </w:tabs>
      </w:pPr>
    </w:lvl>
    <w:lvl w:ilvl="8">
      <w:start w:val="1"/>
      <w:numFmt w:val="none"/>
      <w:isLgl w:val="false"/>
      <w:suff w:val="tab"/>
      <w:lvlText w:val=""/>
      <w:lvlJc w:val="left"/>
      <w:pPr>
        <w:tabs>
          <w:tab w:val="num" w:pos="508" w:leader="none"/>
        </w:tabs>
      </w:pPr>
    </w:lvl>
  </w:abstractNum>
  <w:abstractNum w:abstractNumId="15">
    <w:multiLevelType w:val="hybridMultilevel"/>
    <w:lvl w:ilvl="0">
      <w:start w:val="3"/>
      <w:numFmt w:val="chineseCounting"/>
      <w:isLgl w:val="false"/>
      <w:suff w:val="nothing"/>
      <w:lvlText w:val="（%1）"/>
      <w:lvlJc w:val="left"/>
      <w:pPr/>
      <w:rPr>
        <w:rFonts w:hint="eastAsia" w:ascii="宋体" w:hAnsi="宋体" w:eastAsia="宋体" w:cs="宋体"/>
        <w:b w:val="0"/>
        <w:bCs w:val="0"/>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45" w:hanging="425"/>
      </w:pPr>
    </w:lvl>
    <w:lvl w:ilvl="1">
      <w:start w:val="1"/>
      <w:numFmt w:val="decimal"/>
      <w:isLgl w:val="false"/>
      <w:suff w:val="tab"/>
      <w:lvlText w:val="%1.%2."/>
      <w:lvlJc w:val="left"/>
      <w:pPr>
        <w:ind w:left="987" w:hanging="567"/>
      </w:pPr>
    </w:lvl>
    <w:lvl w:ilvl="2">
      <w:start w:val="1"/>
      <w:numFmt w:val="decimal"/>
      <w:isLgl w:val="false"/>
      <w:suff w:val="tab"/>
      <w:lvlText w:val="%1.%2.%3."/>
      <w:lvlJc w:val="left"/>
      <w:pPr>
        <w:ind w:left="1129" w:hanging="709"/>
      </w:pPr>
    </w:lvl>
    <w:lvl w:ilvl="3">
      <w:start w:val="1"/>
      <w:numFmt w:val="decimal"/>
      <w:isLgl w:val="false"/>
      <w:suff w:val="tab"/>
      <w:lvlText w:val="%1.%2.%3.%4."/>
      <w:lvlJc w:val="left"/>
      <w:pPr>
        <w:ind w:left="1271" w:hanging="851"/>
      </w:pPr>
    </w:lvl>
    <w:lvl w:ilvl="4">
      <w:start w:val="1"/>
      <w:numFmt w:val="decimal"/>
      <w:isLgl w:val="false"/>
      <w:suff w:val="tab"/>
      <w:lvlText w:val="%1.%2.%3.%4.%5."/>
      <w:lvlJc w:val="left"/>
      <w:pPr>
        <w:ind w:left="1412" w:hanging="992"/>
      </w:pPr>
    </w:lvl>
    <w:lvl w:ilvl="5">
      <w:start w:val="1"/>
      <w:numFmt w:val="decimal"/>
      <w:isLgl w:val="false"/>
      <w:suff w:val="tab"/>
      <w:lvlText w:val="%1.%2.%3.%4.%5.%6."/>
      <w:lvlJc w:val="left"/>
      <w:pPr>
        <w:ind w:left="1554" w:hanging="1134"/>
      </w:pPr>
    </w:lvl>
    <w:lvl w:ilvl="6">
      <w:start w:val="1"/>
      <w:numFmt w:val="decimal"/>
      <w:isLgl w:val="false"/>
      <w:suff w:val="tab"/>
      <w:lvlText w:val="%1.%2.%3.%4.%5.%6.%7."/>
      <w:lvlJc w:val="left"/>
      <w:pPr>
        <w:ind w:left="1696" w:hanging="1276"/>
      </w:pPr>
    </w:lvl>
    <w:lvl w:ilvl="7">
      <w:start w:val="1"/>
      <w:numFmt w:val="decimal"/>
      <w:isLgl w:val="false"/>
      <w:suff w:val="tab"/>
      <w:lvlText w:val="%1.%2.%3.%4.%5.%6.%7.%8."/>
      <w:lvlJc w:val="left"/>
      <w:pPr>
        <w:ind w:left="1838" w:hanging="1418"/>
      </w:pPr>
    </w:lvl>
    <w:lvl w:ilvl="8">
      <w:start w:val="1"/>
      <w:numFmt w:val="decimal"/>
      <w:isLgl w:val="false"/>
      <w:suff w:val="tab"/>
      <w:lvlText w:val="%1.%2.%3.%4.%5.%6.%7.%8.%9."/>
      <w:lvlJc w:val="left"/>
      <w:pPr>
        <w:ind w:left="1979" w:hanging="1559"/>
      </w:pPr>
    </w:lvl>
  </w:abstractNum>
  <w:abstractNum w:abstractNumId="18">
    <w:multiLevelType w:val="hybridMultilevel"/>
    <w:lvl w:ilvl="0">
      <w:start w:val="1"/>
      <w:numFmt w:val="chineseCountingThousand"/>
      <w:isLgl w:val="false"/>
      <w:suff w:val="tab"/>
      <w:lvlText w:val="(%1)"/>
      <w:lvlJc w:val="left"/>
      <w:pPr>
        <w:ind w:left="1130" w:hanging="420"/>
      </w:pPr>
      <w:rPr>
        <w:b/>
      </w:rPr>
    </w:lvl>
    <w:lvl w:ilvl="1">
      <w:start w:val="1"/>
      <w:numFmt w:val="lowerLetter"/>
      <w:isLgl w:val="false"/>
      <w:suff w:val="tab"/>
      <w:lvlText w:val="%2)"/>
      <w:lvlJc w:val="left"/>
      <w:pPr>
        <w:ind w:left="1260" w:hanging="420"/>
      </w:pPr>
    </w:lvl>
    <w:lvl w:ilvl="2">
      <w:start w:val="1"/>
      <w:numFmt w:val="japaneseCounting"/>
      <w:isLgl w:val="false"/>
      <w:suff w:val="tab"/>
      <w:lvlText w:val="%3、"/>
      <w:lvlJc w:val="left"/>
      <w:pPr>
        <w:ind w:left="1710" w:hanging="450"/>
      </w:pPr>
      <w:rPr>
        <w:rFonts w:cs="宋体"/>
        <w:b/>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9">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1">
    <w:multiLevelType w:val="hybridMultilevel"/>
    <w:lvl w:ilvl="0">
      <w:start w:val="1"/>
      <w:numFmt w:val="decimal"/>
      <w:isLgl w:val="false"/>
      <w:suff w:val="tab"/>
      <w:lvlText w:val="%1."/>
      <w:lvlJc w:val="left"/>
      <w:pPr>
        <w:ind w:left="420" w:hanging="420"/>
        <w:tabs>
          <w:tab w:val="left" w:pos="420" w:leader="none"/>
        </w:tabs>
      </w:pPr>
      <w:rPr>
        <w:rFonts w:hint="eastAsia" w:ascii="宋体" w:hAnsi="宋体" w:eastAsia="宋体"/>
        <w:b w:val="0"/>
      </w:rPr>
    </w:lvl>
    <w:lvl w:ilvl="1">
      <w:start w:val="1"/>
      <w:numFmt w:val="japaneseCounting"/>
      <w:isLgl w:val="false"/>
      <w:suff w:val="tab"/>
      <w:lvlText w:val="%2、"/>
      <w:lvlJc w:val="left"/>
      <w:pPr>
        <w:ind w:left="945" w:hanging="525"/>
      </w:pPr>
      <w:rPr>
        <w:rFonts w:hint="default" w:ascii="宋体" w:hAnsi="宋体"/>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4">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5">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1"/>
      <w:numFmt w:val="decimal"/>
      <w:isLgl w:val="false"/>
      <w:suff w:val="tab"/>
      <w:lvlText w:val="%1."/>
      <w:lvlJc w:val="left"/>
      <w:pPr>
        <w:ind w:left="845" w:hanging="425"/>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27">
    <w:multiLevelType w:val="hybridMultilevel"/>
    <w:lvl w:ilvl="0">
      <w:start w:val="1"/>
      <w:numFmt w:val="decimal"/>
      <w:isLgl w:val="false"/>
      <w:suff w:val="tab"/>
      <w:lvlText w:val="%1."/>
      <w:lvlJc w:val="left"/>
      <w:pPr>
        <w:ind w:left="420" w:hanging="420"/>
        <w:tabs>
          <w:tab w:val="left" w:pos="420" w:leader="none"/>
        </w:tabs>
      </w:pPr>
      <w:rPr>
        <w:rFonts w:hint="eastAsia" w:ascii="宋体" w:hAnsi="宋体" w:eastAsia="宋体"/>
      </w:rPr>
    </w:lvl>
    <w:lvl w:ilvl="1">
      <w:start w:val="1"/>
      <w:numFmt w:val="japaneseCounting"/>
      <w:isLgl w:val="false"/>
      <w:suff w:val="tab"/>
      <w:lvlText w:val="%2、"/>
      <w:lvlJc w:val="left"/>
      <w:pPr>
        <w:ind w:left="945" w:hanging="525"/>
      </w:pPr>
      <w:rPr>
        <w:rFonts w:hint="default" w:ascii="宋体" w:hAnsi="宋体"/>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8">
    <w:multiLevelType w:val="hybridMultilevel"/>
    <w:lvl w:ilvl="0">
      <w:start w:val="2"/>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18"/>
  </w:num>
  <w:num w:numId="2">
    <w:abstractNumId w:val="26"/>
  </w:num>
  <w:num w:numId="3">
    <w:abstractNumId w:val="14"/>
  </w:num>
  <w:num w:numId="4">
    <w:abstractNumId w:val="15"/>
  </w:num>
  <w:num w:numId="5">
    <w:abstractNumId w:val="28"/>
  </w:num>
  <w:num w:numId="6">
    <w:abstractNumId w:val="10"/>
  </w:num>
  <w:num w:numId="7">
    <w:abstractNumId w:val="1"/>
  </w:num>
  <w:num w:numId="8">
    <w:abstractNumId w:val="17"/>
  </w:num>
  <w:num w:numId="9">
    <w:abstractNumId w:val="3"/>
  </w:num>
  <w:num w:numId="10">
    <w:abstractNumId w:val="19"/>
  </w:num>
  <w:num w:numId="11">
    <w:abstractNumId w:val="23"/>
  </w:num>
  <w:num w:numId="12">
    <w:abstractNumId w:val="2"/>
    <w:lvlOverride w:ilvl="0">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5"/>
  </w:num>
  <w:num w:numId="16">
    <w:abstractNumId w:val="8"/>
  </w:num>
  <w:num w:numId="17">
    <w:abstractNumId w:val="16"/>
  </w:num>
  <w:num w:numId="18">
    <w:abstractNumId w:val="0"/>
  </w:num>
  <w:num w:numId="19">
    <w:abstractNumId w:val="7"/>
  </w:num>
  <w:num w:numId="20">
    <w:abstractNumId w:val="24"/>
  </w:num>
  <w:num w:numId="21">
    <w:abstractNumId w:val="21"/>
  </w:num>
  <w:num w:numId="22">
    <w:abstractNumId w:val="27"/>
  </w:num>
  <w:num w:numId="23">
    <w:abstractNumId w:val="12"/>
  </w:num>
  <w:num w:numId="24">
    <w:abstractNumId w:val="6"/>
  </w:num>
  <w:num w:numId="25">
    <w:abstractNumId w:val="11"/>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47"/>
    <w:qFormat/>
    <w:pPr>
      <w:jc w:val="both"/>
      <w:widowControl w:val="off"/>
    </w:pPr>
    <w:rPr>
      <w:sz w:val="21"/>
      <w:szCs w:val="22"/>
    </w:rPr>
  </w:style>
  <w:style w:type="paragraph" w:styleId="715">
    <w:name w:val="Heading 1"/>
    <w:basedOn w:val="714"/>
    <w:next w:val="714"/>
    <w:link w:val="748"/>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49"/>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0"/>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1"/>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52"/>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3"/>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754"/>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755"/>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756"/>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Caption"/>
    <w:basedOn w:val="714"/>
    <w:next w:val="714"/>
    <w:uiPriority w:val="35"/>
    <w:semiHidden/>
    <w:unhideWhenUsed/>
    <w:qFormat/>
    <w:pPr>
      <w:spacing w:line="276" w:lineRule="auto"/>
    </w:pPr>
    <w:rPr>
      <w:b/>
      <w:bCs/>
      <w:color w:val="4f81bd" w:themeColor="accent1"/>
      <w:sz w:val="18"/>
      <w:szCs w:val="18"/>
    </w:rPr>
  </w:style>
  <w:style w:type="table" w:styleId="728">
    <w:name w:val="Plain Table 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name w:val="Grid Table 1 Light"/>
    <w:basedOn w:val="72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5">
    <w:name w:val="Grid Table 3"/>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2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name w:val="Grid Table 6 Colorful"/>
    <w:basedOn w:val="72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9">
    <w:name w:val="Grid Table 7 Colorful"/>
    <w:basedOn w:val="72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0">
    <w:name w:val="List Table 1 Light"/>
    <w:basedOn w:val="72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2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2">
    <w:name w:val="List Table 3"/>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name w:val="List Table 4"/>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name w:val="List Table 5 Dark"/>
    <w:basedOn w:val="72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5">
    <w:name w:val="List Table 6 Colorful"/>
    <w:basedOn w:val="72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6">
    <w:name w:val="List Table 7 Colorful"/>
    <w:basedOn w:val="72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7">
    <w:name w:val="Body Text First Indent 2"/>
    <w:uiPriority w:val="99"/>
    <w:unhideWhenUsed/>
    <w:qFormat/>
    <w:pPr>
      <w:ind w:left="420" w:firstLine="420"/>
      <w:jc w:val="both"/>
      <w:spacing w:after="120"/>
      <w:widowControl w:val="off"/>
    </w:pPr>
    <w:rPr>
      <w:sz w:val="21"/>
    </w:rPr>
  </w:style>
  <w:style w:type="character" w:styleId="748" w:customStyle="1">
    <w:name w:val="标题 1 字符1"/>
    <w:basedOn w:val="724"/>
    <w:link w:val="715"/>
    <w:qFormat/>
    <w:rPr>
      <w:rFonts w:ascii="Arial" w:hAnsi="Arial" w:eastAsia="Arial" w:cs="Arial"/>
      <w:sz w:val="40"/>
      <w:szCs w:val="40"/>
    </w:rPr>
  </w:style>
  <w:style w:type="character" w:styleId="749" w:customStyle="1">
    <w:name w:val="标题 2 字符1"/>
    <w:basedOn w:val="724"/>
    <w:link w:val="716"/>
    <w:uiPriority w:val="9"/>
    <w:rPr>
      <w:rFonts w:ascii="Arial" w:hAnsi="Arial" w:eastAsia="Arial" w:cs="Arial"/>
      <w:sz w:val="34"/>
      <w:szCs w:val="22"/>
    </w:rPr>
  </w:style>
  <w:style w:type="character" w:styleId="750" w:customStyle="1">
    <w:name w:val="标题 3 字符1"/>
    <w:basedOn w:val="724"/>
    <w:link w:val="717"/>
    <w:uiPriority w:val="9"/>
    <w:rPr>
      <w:rFonts w:ascii="Arial" w:hAnsi="Arial" w:eastAsia="Arial" w:cs="Arial"/>
      <w:sz w:val="30"/>
      <w:szCs w:val="30"/>
    </w:rPr>
  </w:style>
  <w:style w:type="character" w:styleId="751" w:customStyle="1">
    <w:name w:val="标题 4 字符1"/>
    <w:basedOn w:val="724"/>
    <w:link w:val="718"/>
    <w:uiPriority w:val="9"/>
    <w:rPr>
      <w:rFonts w:ascii="Arial" w:hAnsi="Arial" w:eastAsia="Arial" w:cs="Arial"/>
      <w:b/>
      <w:bCs/>
      <w:sz w:val="26"/>
      <w:szCs w:val="26"/>
    </w:rPr>
  </w:style>
  <w:style w:type="character" w:styleId="752" w:customStyle="1">
    <w:name w:val="标题 5 字符1"/>
    <w:basedOn w:val="724"/>
    <w:link w:val="719"/>
    <w:uiPriority w:val="9"/>
    <w:rPr>
      <w:rFonts w:ascii="Arial" w:hAnsi="Arial" w:eastAsia="Arial" w:cs="Arial"/>
      <w:b/>
      <w:bCs/>
      <w:sz w:val="24"/>
      <w:szCs w:val="24"/>
    </w:rPr>
  </w:style>
  <w:style w:type="character" w:styleId="753" w:customStyle="1">
    <w:name w:val="标题 6 字符1"/>
    <w:basedOn w:val="724"/>
    <w:link w:val="720"/>
    <w:uiPriority w:val="9"/>
    <w:rPr>
      <w:rFonts w:ascii="Arial" w:hAnsi="Arial" w:eastAsia="Arial" w:cs="Arial"/>
      <w:b/>
      <w:bCs/>
      <w:sz w:val="22"/>
      <w:szCs w:val="22"/>
    </w:rPr>
  </w:style>
  <w:style w:type="character" w:styleId="754" w:customStyle="1">
    <w:name w:val="标题 7 字符1"/>
    <w:basedOn w:val="724"/>
    <w:link w:val="721"/>
    <w:uiPriority w:val="9"/>
    <w:rPr>
      <w:rFonts w:ascii="Arial" w:hAnsi="Arial" w:eastAsia="Arial" w:cs="Arial"/>
      <w:b/>
      <w:bCs/>
      <w:i/>
      <w:iCs/>
      <w:sz w:val="22"/>
      <w:szCs w:val="22"/>
    </w:rPr>
  </w:style>
  <w:style w:type="character" w:styleId="755" w:customStyle="1">
    <w:name w:val="标题 8 字符1"/>
    <w:basedOn w:val="724"/>
    <w:link w:val="722"/>
    <w:uiPriority w:val="9"/>
    <w:rPr>
      <w:rFonts w:ascii="Arial" w:hAnsi="Arial" w:eastAsia="Arial" w:cs="Arial"/>
      <w:i/>
      <w:iCs/>
      <w:sz w:val="22"/>
      <w:szCs w:val="22"/>
    </w:rPr>
  </w:style>
  <w:style w:type="character" w:styleId="756" w:customStyle="1">
    <w:name w:val="标题 9 字符1"/>
    <w:basedOn w:val="724"/>
    <w:link w:val="723"/>
    <w:uiPriority w:val="9"/>
    <w:rPr>
      <w:rFonts w:ascii="Arial" w:hAnsi="Arial" w:eastAsia="Arial" w:cs="Arial"/>
      <w:i/>
      <w:iCs/>
      <w:sz w:val="21"/>
      <w:szCs w:val="21"/>
    </w:rPr>
  </w:style>
  <w:style w:type="character" w:styleId="757" w:customStyle="1">
    <w:name w:val="Heading 1 Char"/>
    <w:basedOn w:val="724"/>
    <w:uiPriority w:val="9"/>
    <w:rPr>
      <w:rFonts w:ascii="Arial" w:hAnsi="Arial" w:eastAsia="Arial" w:cs="Arial"/>
      <w:sz w:val="40"/>
      <w:szCs w:val="40"/>
    </w:rPr>
  </w:style>
  <w:style w:type="character" w:styleId="758" w:customStyle="1">
    <w:name w:val="Heading 2 Char"/>
    <w:basedOn w:val="724"/>
    <w:uiPriority w:val="9"/>
    <w:rPr>
      <w:rFonts w:ascii="Arial" w:hAnsi="Arial" w:eastAsia="Arial" w:cs="Arial"/>
      <w:sz w:val="34"/>
    </w:rPr>
  </w:style>
  <w:style w:type="character" w:styleId="759" w:customStyle="1">
    <w:name w:val="Heading 3 Char"/>
    <w:basedOn w:val="724"/>
    <w:uiPriority w:val="9"/>
    <w:rPr>
      <w:rFonts w:ascii="Arial" w:hAnsi="Arial" w:eastAsia="Arial" w:cs="Arial"/>
      <w:sz w:val="30"/>
      <w:szCs w:val="30"/>
    </w:rPr>
  </w:style>
  <w:style w:type="character" w:styleId="760" w:customStyle="1">
    <w:name w:val="Heading 4 Char"/>
    <w:basedOn w:val="724"/>
    <w:uiPriority w:val="9"/>
    <w:rPr>
      <w:rFonts w:ascii="Arial" w:hAnsi="Arial" w:eastAsia="Arial" w:cs="Arial"/>
      <w:b/>
      <w:bCs/>
      <w:sz w:val="26"/>
      <w:szCs w:val="26"/>
    </w:rPr>
  </w:style>
  <w:style w:type="character" w:styleId="761" w:customStyle="1">
    <w:name w:val="Heading 5 Char"/>
    <w:basedOn w:val="724"/>
    <w:uiPriority w:val="9"/>
    <w:rPr>
      <w:rFonts w:ascii="Arial" w:hAnsi="Arial" w:eastAsia="Arial" w:cs="Arial"/>
      <w:b/>
      <w:bCs/>
      <w:sz w:val="24"/>
      <w:szCs w:val="24"/>
    </w:rPr>
  </w:style>
  <w:style w:type="character" w:styleId="762" w:customStyle="1">
    <w:name w:val="Heading 6 Char"/>
    <w:basedOn w:val="724"/>
    <w:uiPriority w:val="9"/>
    <w:rPr>
      <w:rFonts w:ascii="Arial" w:hAnsi="Arial" w:eastAsia="Arial" w:cs="Arial"/>
      <w:b/>
      <w:bCs/>
      <w:sz w:val="22"/>
      <w:szCs w:val="22"/>
    </w:rPr>
  </w:style>
  <w:style w:type="character" w:styleId="763" w:customStyle="1">
    <w:name w:val="Heading 7 Char"/>
    <w:basedOn w:val="724"/>
    <w:uiPriority w:val="9"/>
    <w:rPr>
      <w:rFonts w:ascii="Arial" w:hAnsi="Arial" w:eastAsia="Arial" w:cs="Arial"/>
      <w:b/>
      <w:bCs/>
      <w:i/>
      <w:iCs/>
      <w:sz w:val="22"/>
      <w:szCs w:val="22"/>
    </w:rPr>
  </w:style>
  <w:style w:type="character" w:styleId="764" w:customStyle="1">
    <w:name w:val="Heading 8 Char"/>
    <w:basedOn w:val="724"/>
    <w:uiPriority w:val="9"/>
    <w:rPr>
      <w:rFonts w:ascii="Arial" w:hAnsi="Arial" w:eastAsia="Arial" w:cs="Arial"/>
      <w:i/>
      <w:iCs/>
      <w:sz w:val="22"/>
      <w:szCs w:val="22"/>
    </w:rPr>
  </w:style>
  <w:style w:type="character" w:styleId="765" w:customStyle="1">
    <w:name w:val="Heading 9 Char"/>
    <w:basedOn w:val="724"/>
    <w:uiPriority w:val="9"/>
    <w:rPr>
      <w:rFonts w:ascii="Arial" w:hAnsi="Arial" w:eastAsia="Arial" w:cs="Arial"/>
      <w:i/>
      <w:iCs/>
      <w:sz w:val="21"/>
      <w:szCs w:val="21"/>
    </w:rPr>
  </w:style>
  <w:style w:type="character" w:styleId="766" w:customStyle="1">
    <w:name w:val="Title Char"/>
    <w:basedOn w:val="724"/>
    <w:uiPriority w:val="10"/>
    <w:rPr>
      <w:sz w:val="48"/>
      <w:szCs w:val="48"/>
    </w:rPr>
  </w:style>
  <w:style w:type="character" w:styleId="767" w:customStyle="1">
    <w:name w:val="Subtitle Char"/>
    <w:basedOn w:val="724"/>
    <w:uiPriority w:val="11"/>
    <w:rPr>
      <w:sz w:val="24"/>
      <w:szCs w:val="24"/>
    </w:rPr>
  </w:style>
  <w:style w:type="character" w:styleId="768" w:customStyle="1">
    <w:name w:val="Quote Char"/>
    <w:uiPriority w:val="29"/>
    <w:rPr>
      <w:i/>
    </w:rPr>
  </w:style>
  <w:style w:type="character" w:styleId="769" w:customStyle="1">
    <w:name w:val="Intense Quote Char"/>
    <w:uiPriority w:val="30"/>
    <w:rPr>
      <w:i/>
    </w:rPr>
  </w:style>
  <w:style w:type="table" w:styleId="770" w:customStyle="1">
    <w:name w:val="无格式表格 1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72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6" w:customStyle="1">
    <w:name w:val="网格表 21"/>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7" w:customStyle="1">
    <w:name w:val="网格表 31"/>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basedOn w:val="72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网格表 5 深色1"/>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网格表 6 彩色1"/>
    <w:basedOn w:val="72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1" w:customStyle="1">
    <w:name w:val="网格表 7 彩色1"/>
    <w:basedOn w:val="72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2" w:customStyle="1">
    <w:name w:val="清单表 1 浅色1"/>
    <w:basedOn w:val="72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清单表 21"/>
    <w:basedOn w:val="72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4" w:customStyle="1">
    <w:name w:val="清单表 31"/>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41"/>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5 深色1"/>
    <w:basedOn w:val="72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7" w:customStyle="1">
    <w:name w:val="清单表 6 彩色1"/>
    <w:basedOn w:val="72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8" w:customStyle="1">
    <w:name w:val="清单表 7 彩色1"/>
    <w:basedOn w:val="72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rPr>
      <w:sz w:val="18"/>
    </w:rPr>
  </w:style>
  <w:style w:type="character" w:styleId="790" w:customStyle="1">
    <w:name w:val="Endnote Text Char"/>
    <w:uiPriority w:val="99"/>
    <w:rPr>
      <w:sz w:val="20"/>
    </w:rPr>
  </w:style>
  <w:style w:type="paragraph" w:styleId="791">
    <w:name w:val="TOC Heading"/>
    <w:uiPriority w:val="39"/>
    <w:unhideWhenUsed/>
  </w:style>
  <w:style w:type="paragraph" w:styleId="792" w:customStyle="1">
    <w:name w:val="标题 11"/>
    <w:basedOn w:val="714"/>
    <w:next w:val="714"/>
    <w:link w:val="793"/>
    <w:uiPriority w:val="9"/>
    <w:qFormat/>
    <w:pPr>
      <w:keepLines/>
      <w:keepNext/>
      <w:spacing w:before="480" w:after="200"/>
      <w:outlineLvl w:val="0"/>
    </w:pPr>
    <w:rPr>
      <w:rFonts w:ascii="Arial" w:hAnsi="Arial" w:eastAsia="Arial" w:cs="Arial"/>
      <w:sz w:val="40"/>
      <w:szCs w:val="40"/>
    </w:rPr>
  </w:style>
  <w:style w:type="character" w:styleId="793" w:customStyle="1">
    <w:name w:val="标题 1 字符"/>
    <w:link w:val="792"/>
    <w:uiPriority w:val="9"/>
    <w:qFormat/>
    <w:rPr>
      <w:rFonts w:ascii="Arial" w:hAnsi="Arial" w:eastAsia="Arial" w:cs="Arial"/>
      <w:sz w:val="40"/>
      <w:szCs w:val="40"/>
    </w:rPr>
  </w:style>
  <w:style w:type="paragraph" w:styleId="794" w:customStyle="1">
    <w:name w:val="标题 21"/>
    <w:basedOn w:val="714"/>
    <w:next w:val="714"/>
    <w:link w:val="795"/>
    <w:uiPriority w:val="9"/>
    <w:unhideWhenUsed/>
    <w:qFormat/>
    <w:pPr>
      <w:keepLines/>
      <w:keepNext/>
      <w:spacing w:before="360" w:after="200"/>
      <w:outlineLvl w:val="1"/>
    </w:pPr>
    <w:rPr>
      <w:rFonts w:ascii="Arial" w:hAnsi="Arial" w:eastAsia="Arial" w:cs="Arial"/>
      <w:sz w:val="34"/>
    </w:rPr>
  </w:style>
  <w:style w:type="character" w:styleId="795" w:customStyle="1">
    <w:name w:val="标题 2 字符"/>
    <w:link w:val="794"/>
    <w:uiPriority w:val="9"/>
    <w:qFormat/>
    <w:rPr>
      <w:rFonts w:ascii="Arial" w:hAnsi="Arial" w:eastAsia="Arial" w:cs="Arial"/>
      <w:sz w:val="34"/>
    </w:rPr>
  </w:style>
  <w:style w:type="paragraph" w:styleId="796" w:customStyle="1">
    <w:name w:val="标题 31"/>
    <w:basedOn w:val="714"/>
    <w:next w:val="714"/>
    <w:link w:val="797"/>
    <w:uiPriority w:val="9"/>
    <w:unhideWhenUsed/>
    <w:qFormat/>
    <w:pPr>
      <w:keepLines/>
      <w:keepNext/>
      <w:spacing w:before="320" w:after="200"/>
      <w:outlineLvl w:val="2"/>
    </w:pPr>
    <w:rPr>
      <w:rFonts w:ascii="Arial" w:hAnsi="Arial" w:eastAsia="Arial" w:cs="Arial"/>
      <w:sz w:val="30"/>
      <w:szCs w:val="30"/>
    </w:rPr>
  </w:style>
  <w:style w:type="character" w:styleId="797" w:customStyle="1">
    <w:name w:val="标题 3 字符"/>
    <w:link w:val="796"/>
    <w:uiPriority w:val="9"/>
    <w:qFormat/>
    <w:rPr>
      <w:rFonts w:ascii="Arial" w:hAnsi="Arial" w:eastAsia="Arial" w:cs="Arial"/>
      <w:sz w:val="30"/>
      <w:szCs w:val="30"/>
    </w:rPr>
  </w:style>
  <w:style w:type="paragraph" w:styleId="798" w:customStyle="1">
    <w:name w:val="标题 41"/>
    <w:basedOn w:val="714"/>
    <w:next w:val="714"/>
    <w:link w:val="799"/>
    <w:uiPriority w:val="9"/>
    <w:unhideWhenUsed/>
    <w:qFormat/>
    <w:pPr>
      <w:keepLines/>
      <w:keepNext/>
      <w:spacing w:before="320" w:after="200"/>
      <w:outlineLvl w:val="3"/>
    </w:pPr>
    <w:rPr>
      <w:rFonts w:ascii="Arial" w:hAnsi="Arial" w:eastAsia="Arial" w:cs="Arial"/>
      <w:b/>
      <w:bCs/>
      <w:sz w:val="26"/>
      <w:szCs w:val="26"/>
    </w:rPr>
  </w:style>
  <w:style w:type="character" w:styleId="799" w:customStyle="1">
    <w:name w:val="标题 4 字符"/>
    <w:link w:val="798"/>
    <w:uiPriority w:val="9"/>
    <w:qFormat/>
    <w:rPr>
      <w:rFonts w:ascii="Arial" w:hAnsi="Arial" w:eastAsia="Arial" w:cs="Arial"/>
      <w:b/>
      <w:bCs/>
      <w:sz w:val="26"/>
      <w:szCs w:val="26"/>
    </w:rPr>
  </w:style>
  <w:style w:type="paragraph" w:styleId="800" w:customStyle="1">
    <w:name w:val="标题 51"/>
    <w:basedOn w:val="714"/>
    <w:next w:val="714"/>
    <w:link w:val="801"/>
    <w:uiPriority w:val="9"/>
    <w:unhideWhenUsed/>
    <w:qFormat/>
    <w:pPr>
      <w:keepLines/>
      <w:keepNext/>
      <w:spacing w:before="320" w:after="200"/>
      <w:outlineLvl w:val="4"/>
    </w:pPr>
    <w:rPr>
      <w:rFonts w:ascii="Arial" w:hAnsi="Arial" w:eastAsia="Arial" w:cs="Arial"/>
      <w:b/>
      <w:bCs/>
      <w:sz w:val="24"/>
      <w:szCs w:val="24"/>
    </w:rPr>
  </w:style>
  <w:style w:type="character" w:styleId="801" w:customStyle="1">
    <w:name w:val="标题 5 字符"/>
    <w:link w:val="800"/>
    <w:uiPriority w:val="9"/>
    <w:qFormat/>
    <w:rPr>
      <w:rFonts w:ascii="Arial" w:hAnsi="Arial" w:eastAsia="Arial" w:cs="Arial"/>
      <w:b/>
      <w:bCs/>
      <w:sz w:val="24"/>
      <w:szCs w:val="24"/>
    </w:rPr>
  </w:style>
  <w:style w:type="paragraph" w:styleId="802" w:customStyle="1">
    <w:name w:val="标题 61"/>
    <w:basedOn w:val="714"/>
    <w:next w:val="714"/>
    <w:link w:val="803"/>
    <w:uiPriority w:val="9"/>
    <w:unhideWhenUsed/>
    <w:qFormat/>
    <w:pPr>
      <w:keepLines/>
      <w:keepNext/>
      <w:spacing w:before="320" w:after="200"/>
      <w:outlineLvl w:val="5"/>
    </w:pPr>
    <w:rPr>
      <w:rFonts w:ascii="Arial" w:hAnsi="Arial" w:eastAsia="Arial" w:cs="Arial"/>
      <w:b/>
      <w:bCs/>
      <w:sz w:val="22"/>
    </w:rPr>
  </w:style>
  <w:style w:type="character" w:styleId="803" w:customStyle="1">
    <w:name w:val="标题 6 字符"/>
    <w:link w:val="802"/>
    <w:uiPriority w:val="9"/>
    <w:qFormat/>
    <w:rPr>
      <w:rFonts w:ascii="Arial" w:hAnsi="Arial" w:eastAsia="Arial" w:cs="Arial"/>
      <w:b/>
      <w:bCs/>
      <w:sz w:val="22"/>
      <w:szCs w:val="22"/>
    </w:rPr>
  </w:style>
  <w:style w:type="paragraph" w:styleId="804" w:customStyle="1">
    <w:name w:val="标题 71"/>
    <w:basedOn w:val="714"/>
    <w:next w:val="714"/>
    <w:link w:val="805"/>
    <w:uiPriority w:val="9"/>
    <w:unhideWhenUsed/>
    <w:qFormat/>
    <w:pPr>
      <w:keepLines/>
      <w:keepNext/>
      <w:spacing w:before="320" w:after="200"/>
      <w:outlineLvl w:val="6"/>
    </w:pPr>
    <w:rPr>
      <w:rFonts w:ascii="Arial" w:hAnsi="Arial" w:eastAsia="Arial" w:cs="Arial"/>
      <w:b/>
      <w:bCs/>
      <w:i/>
      <w:iCs/>
      <w:sz w:val="22"/>
    </w:rPr>
  </w:style>
  <w:style w:type="character" w:styleId="805" w:customStyle="1">
    <w:name w:val="标题 7 字符"/>
    <w:link w:val="804"/>
    <w:uiPriority w:val="9"/>
    <w:qFormat/>
    <w:rPr>
      <w:rFonts w:ascii="Arial" w:hAnsi="Arial" w:eastAsia="Arial" w:cs="Arial"/>
      <w:b/>
      <w:bCs/>
      <w:i/>
      <w:iCs/>
      <w:sz w:val="22"/>
      <w:szCs w:val="22"/>
    </w:rPr>
  </w:style>
  <w:style w:type="paragraph" w:styleId="806" w:customStyle="1">
    <w:name w:val="标题 81"/>
    <w:basedOn w:val="714"/>
    <w:next w:val="714"/>
    <w:link w:val="807"/>
    <w:uiPriority w:val="9"/>
    <w:unhideWhenUsed/>
    <w:qFormat/>
    <w:pPr>
      <w:keepLines/>
      <w:keepNext/>
      <w:spacing w:before="320" w:after="200"/>
      <w:outlineLvl w:val="7"/>
    </w:pPr>
    <w:rPr>
      <w:rFonts w:ascii="Arial" w:hAnsi="Arial" w:eastAsia="Arial" w:cs="Arial"/>
      <w:i/>
      <w:iCs/>
      <w:sz w:val="22"/>
    </w:rPr>
  </w:style>
  <w:style w:type="character" w:styleId="807" w:customStyle="1">
    <w:name w:val="标题 8 字符"/>
    <w:link w:val="806"/>
    <w:uiPriority w:val="9"/>
    <w:qFormat/>
    <w:rPr>
      <w:rFonts w:ascii="Arial" w:hAnsi="Arial" w:eastAsia="Arial" w:cs="Arial"/>
      <w:i/>
      <w:iCs/>
      <w:sz w:val="22"/>
      <w:szCs w:val="22"/>
    </w:rPr>
  </w:style>
  <w:style w:type="paragraph" w:styleId="808" w:customStyle="1">
    <w:name w:val="标题 91"/>
    <w:basedOn w:val="714"/>
    <w:next w:val="714"/>
    <w:link w:val="809"/>
    <w:uiPriority w:val="9"/>
    <w:unhideWhenUsed/>
    <w:qFormat/>
    <w:pPr>
      <w:keepLines/>
      <w:keepNext/>
      <w:spacing w:before="320" w:after="200"/>
      <w:outlineLvl w:val="8"/>
    </w:pPr>
    <w:rPr>
      <w:rFonts w:ascii="Arial" w:hAnsi="Arial" w:eastAsia="Arial" w:cs="Arial"/>
      <w:i/>
      <w:iCs/>
      <w:szCs w:val="21"/>
    </w:rPr>
  </w:style>
  <w:style w:type="character" w:styleId="809" w:customStyle="1">
    <w:name w:val="标题 9 字符"/>
    <w:link w:val="808"/>
    <w:uiPriority w:val="9"/>
    <w:qFormat/>
    <w:rPr>
      <w:rFonts w:ascii="Arial" w:hAnsi="Arial" w:eastAsia="Arial" w:cs="Arial"/>
      <w:i/>
      <w:iCs/>
      <w:sz w:val="21"/>
      <w:szCs w:val="21"/>
    </w:rPr>
  </w:style>
  <w:style w:type="paragraph" w:styleId="810">
    <w:name w:val="toc 7"/>
    <w:basedOn w:val="714"/>
    <w:next w:val="714"/>
    <w:uiPriority w:val="39"/>
    <w:unhideWhenUsed/>
    <w:qFormat/>
    <w:pPr>
      <w:ind w:left="1701"/>
      <w:spacing w:after="57"/>
    </w:pPr>
  </w:style>
  <w:style w:type="paragraph" w:styleId="811">
    <w:name w:val="Normal Indent"/>
    <w:basedOn w:val="714"/>
    <w:link w:val="812"/>
    <w:unhideWhenUsed/>
    <w:qFormat/>
    <w:pPr>
      <w:ind w:firstLine="420"/>
    </w:pPr>
  </w:style>
  <w:style w:type="character" w:styleId="812" w:customStyle="1">
    <w:name w:val="正文缩进 字符"/>
    <w:link w:val="811"/>
    <w:qFormat/>
    <w:rPr>
      <w:sz w:val="21"/>
      <w:szCs w:val="22"/>
    </w:rPr>
  </w:style>
  <w:style w:type="paragraph" w:styleId="813" w:customStyle="1">
    <w:name w:val="题注1"/>
    <w:basedOn w:val="714"/>
    <w:next w:val="714"/>
    <w:uiPriority w:val="35"/>
    <w:semiHidden/>
    <w:unhideWhenUsed/>
    <w:qFormat/>
    <w:pPr>
      <w:spacing w:line="276" w:lineRule="auto"/>
    </w:pPr>
    <w:rPr>
      <w:b/>
      <w:bCs/>
      <w:color w:val="4f81bd" w:themeColor="accent1"/>
      <w:sz w:val="18"/>
      <w:szCs w:val="18"/>
    </w:rPr>
  </w:style>
  <w:style w:type="paragraph" w:styleId="814">
    <w:name w:val="annotation text"/>
    <w:basedOn w:val="714"/>
    <w:link w:val="815"/>
    <w:uiPriority w:val="99"/>
    <w:unhideWhenUsed/>
    <w:qFormat/>
    <w:pPr>
      <w:jc w:val="left"/>
    </w:pPr>
  </w:style>
  <w:style w:type="character" w:styleId="815" w:customStyle="1">
    <w:name w:val="批注文字 字符"/>
    <w:link w:val="814"/>
    <w:uiPriority w:val="99"/>
    <w:qFormat/>
    <w:rPr>
      <w:sz w:val="21"/>
      <w:szCs w:val="22"/>
    </w:rPr>
  </w:style>
  <w:style w:type="paragraph" w:styleId="816">
    <w:name w:val="Body Text"/>
    <w:basedOn w:val="714"/>
    <w:next w:val="811"/>
    <w:link w:val="817"/>
    <w:unhideWhenUsed/>
    <w:qFormat/>
    <w:pPr>
      <w:spacing w:after="120"/>
    </w:pPr>
    <w:rPr>
      <w:rFonts w:ascii="Times New Roman" w:hAnsi="Times New Roman"/>
      <w:szCs w:val="24"/>
    </w:rPr>
  </w:style>
  <w:style w:type="character" w:styleId="817" w:customStyle="1">
    <w:name w:val="正文文本 字符"/>
    <w:link w:val="816"/>
    <w:qFormat/>
    <w:rPr>
      <w:rFonts w:ascii="Times New Roman" w:hAnsi="Times New Roman"/>
      <w:sz w:val="21"/>
      <w:szCs w:val="24"/>
    </w:rPr>
  </w:style>
  <w:style w:type="paragraph" w:styleId="818">
    <w:name w:val="Block Text"/>
    <w:basedOn w:val="714"/>
    <w:qFormat/>
    <w:pPr>
      <w:ind w:left="630" w:right="-609" w:firstLine="420"/>
      <w:spacing w:line="360" w:lineRule="auto"/>
    </w:pPr>
    <w:rPr>
      <w:rFonts w:hint="eastAsia" w:ascii="仿宋_GB2312" w:hAnsi="Times New Roman" w:eastAsia="仿宋_GB2312"/>
      <w:szCs w:val="20"/>
    </w:rPr>
  </w:style>
  <w:style w:type="paragraph" w:styleId="819">
    <w:name w:val="toc 5"/>
    <w:basedOn w:val="714"/>
    <w:next w:val="714"/>
    <w:uiPriority w:val="39"/>
    <w:unhideWhenUsed/>
    <w:qFormat/>
    <w:pPr>
      <w:ind w:left="1134"/>
      <w:spacing w:after="57"/>
    </w:pPr>
  </w:style>
  <w:style w:type="paragraph" w:styleId="820">
    <w:name w:val="toc 3"/>
    <w:basedOn w:val="714"/>
    <w:next w:val="714"/>
    <w:uiPriority w:val="39"/>
    <w:unhideWhenUsed/>
    <w:qFormat/>
    <w:pPr>
      <w:ind w:left="567"/>
      <w:spacing w:after="57"/>
    </w:pPr>
  </w:style>
  <w:style w:type="paragraph" w:styleId="821">
    <w:name w:val="Plain Text"/>
    <w:basedOn w:val="714"/>
    <w:link w:val="822"/>
    <w:qFormat/>
    <w:pPr>
      <w:jc w:val="left"/>
      <w:widowControl/>
    </w:pPr>
    <w:rPr>
      <w:rFonts w:ascii="宋体" w:hAnsi="Courier New" w:eastAsia="楷体_GB2312"/>
      <w:sz w:val="26"/>
      <w:szCs w:val="24"/>
    </w:rPr>
  </w:style>
  <w:style w:type="character" w:styleId="822" w:customStyle="1">
    <w:name w:val="纯文本 字符1"/>
    <w:link w:val="821"/>
    <w:qFormat/>
    <w:rPr>
      <w:rFonts w:ascii="宋体" w:hAnsi="Courier New" w:eastAsia="楷体_GB2312"/>
      <w:sz w:val="26"/>
      <w:szCs w:val="24"/>
    </w:rPr>
  </w:style>
  <w:style w:type="paragraph" w:styleId="823">
    <w:name w:val="toc 8"/>
    <w:basedOn w:val="714"/>
    <w:next w:val="714"/>
    <w:uiPriority w:val="39"/>
    <w:unhideWhenUsed/>
    <w:qFormat/>
    <w:pPr>
      <w:ind w:left="1984"/>
      <w:spacing w:after="57"/>
    </w:pPr>
  </w:style>
  <w:style w:type="paragraph" w:styleId="824">
    <w:name w:val="endnote text"/>
    <w:basedOn w:val="714"/>
    <w:link w:val="825"/>
    <w:uiPriority w:val="99"/>
    <w:semiHidden/>
    <w:unhideWhenUsed/>
    <w:qFormat/>
    <w:rPr>
      <w:sz w:val="20"/>
    </w:rPr>
  </w:style>
  <w:style w:type="character" w:styleId="825" w:customStyle="1">
    <w:name w:val="尾注文本 字符"/>
    <w:link w:val="824"/>
    <w:uiPriority w:val="99"/>
    <w:rPr>
      <w:sz w:val="20"/>
    </w:rPr>
  </w:style>
  <w:style w:type="paragraph" w:styleId="826">
    <w:name w:val="Balloon Text"/>
    <w:basedOn w:val="714"/>
    <w:link w:val="827"/>
    <w:unhideWhenUsed/>
    <w:qFormat/>
    <w:rPr>
      <w:sz w:val="18"/>
      <w:szCs w:val="18"/>
    </w:rPr>
  </w:style>
  <w:style w:type="character" w:styleId="827" w:customStyle="1">
    <w:name w:val="批注框文本 字符1"/>
    <w:link w:val="826"/>
    <w:uiPriority w:val="99"/>
    <w:semiHidden/>
    <w:rPr>
      <w:sz w:val="18"/>
      <w:szCs w:val="18"/>
    </w:rPr>
  </w:style>
  <w:style w:type="paragraph" w:styleId="828" w:customStyle="1">
    <w:name w:val="页脚1"/>
    <w:basedOn w:val="714"/>
    <w:link w:val="829"/>
    <w:uiPriority w:val="99"/>
    <w:qFormat/>
    <w:pPr>
      <w:jc w:val="left"/>
      <w:tabs>
        <w:tab w:val="center" w:pos="4153" w:leader="none"/>
        <w:tab w:val="right" w:pos="8306" w:leader="none"/>
      </w:tabs>
    </w:pPr>
    <w:rPr>
      <w:sz w:val="18"/>
      <w:szCs w:val="18"/>
    </w:rPr>
  </w:style>
  <w:style w:type="character" w:styleId="829" w:customStyle="1">
    <w:name w:val="页脚 字符1"/>
    <w:link w:val="828"/>
    <w:uiPriority w:val="99"/>
    <w:qFormat/>
    <w:rPr>
      <w:rFonts w:ascii="Calibri" w:hAnsi="Calibri" w:eastAsia="宋体" w:cs="Times New Roman"/>
      <w:sz w:val="18"/>
      <w:szCs w:val="18"/>
    </w:rPr>
  </w:style>
  <w:style w:type="paragraph" w:styleId="830" w:customStyle="1">
    <w:name w:val="页眉1"/>
    <w:basedOn w:val="714"/>
    <w:link w:val="831"/>
    <w:uiPriority w:val="99"/>
    <w:unhideWhenUsed/>
    <w:qFormat/>
    <w:pPr>
      <w:jc w:val="center"/>
      <w:tabs>
        <w:tab w:val="center" w:pos="4153" w:leader="none"/>
        <w:tab w:val="right" w:pos="8306" w:leader="none"/>
      </w:tabs>
    </w:pPr>
    <w:rPr>
      <w:sz w:val="18"/>
      <w:szCs w:val="18"/>
    </w:rPr>
  </w:style>
  <w:style w:type="character" w:styleId="831" w:customStyle="1">
    <w:name w:val="页眉 字符1"/>
    <w:link w:val="830"/>
    <w:uiPriority w:val="99"/>
    <w:qFormat/>
    <w:rPr>
      <w:sz w:val="18"/>
      <w:szCs w:val="18"/>
    </w:rPr>
  </w:style>
  <w:style w:type="paragraph" w:styleId="832">
    <w:name w:val="toc 1"/>
    <w:basedOn w:val="714"/>
    <w:next w:val="714"/>
    <w:qFormat/>
    <w:pPr>
      <w:jc w:val="left"/>
    </w:pPr>
    <w:rPr>
      <w:rFonts w:ascii="宋体" w:hAnsi="宋体" w:eastAsia="楷体_GB2312"/>
      <w:sz w:val="24"/>
      <w:szCs w:val="21"/>
    </w:rPr>
  </w:style>
  <w:style w:type="paragraph" w:styleId="833">
    <w:name w:val="toc 4"/>
    <w:basedOn w:val="714"/>
    <w:next w:val="714"/>
    <w:uiPriority w:val="39"/>
    <w:unhideWhenUsed/>
    <w:qFormat/>
    <w:pPr>
      <w:ind w:left="850"/>
      <w:spacing w:after="57"/>
    </w:pPr>
  </w:style>
  <w:style w:type="paragraph" w:styleId="834">
    <w:name w:val="Subtitle"/>
    <w:basedOn w:val="714"/>
    <w:next w:val="714"/>
    <w:link w:val="835"/>
    <w:uiPriority w:val="11"/>
    <w:qFormat/>
    <w:pPr>
      <w:spacing w:before="200" w:after="200"/>
    </w:pPr>
    <w:rPr>
      <w:sz w:val="24"/>
      <w:szCs w:val="24"/>
    </w:rPr>
  </w:style>
  <w:style w:type="character" w:styleId="835" w:customStyle="1">
    <w:name w:val="副标题 字符"/>
    <w:link w:val="834"/>
    <w:uiPriority w:val="11"/>
    <w:qFormat/>
    <w:rPr>
      <w:sz w:val="24"/>
      <w:szCs w:val="24"/>
    </w:rPr>
  </w:style>
  <w:style w:type="paragraph" w:styleId="836">
    <w:name w:val="footnote text"/>
    <w:basedOn w:val="714"/>
    <w:link w:val="837"/>
    <w:uiPriority w:val="99"/>
    <w:semiHidden/>
    <w:unhideWhenUsed/>
    <w:qFormat/>
    <w:pPr>
      <w:spacing w:after="40"/>
    </w:pPr>
    <w:rPr>
      <w:sz w:val="18"/>
    </w:rPr>
  </w:style>
  <w:style w:type="character" w:styleId="837" w:customStyle="1">
    <w:name w:val="脚注文本 字符"/>
    <w:link w:val="836"/>
    <w:uiPriority w:val="99"/>
    <w:qFormat/>
    <w:rPr>
      <w:sz w:val="18"/>
    </w:rPr>
  </w:style>
  <w:style w:type="paragraph" w:styleId="838">
    <w:name w:val="toc 6"/>
    <w:basedOn w:val="714"/>
    <w:next w:val="714"/>
    <w:uiPriority w:val="39"/>
    <w:unhideWhenUsed/>
    <w:qFormat/>
    <w:pPr>
      <w:ind w:left="1417"/>
      <w:spacing w:after="57"/>
    </w:pPr>
  </w:style>
  <w:style w:type="paragraph" w:styleId="839">
    <w:name w:val="table of figures"/>
    <w:basedOn w:val="714"/>
    <w:next w:val="714"/>
    <w:uiPriority w:val="99"/>
    <w:unhideWhenUsed/>
    <w:qFormat/>
  </w:style>
  <w:style w:type="paragraph" w:styleId="840">
    <w:name w:val="toc 2"/>
    <w:basedOn w:val="714"/>
    <w:next w:val="714"/>
    <w:uiPriority w:val="39"/>
    <w:unhideWhenUsed/>
    <w:qFormat/>
    <w:pPr>
      <w:ind w:left="283"/>
      <w:spacing w:after="57"/>
    </w:pPr>
  </w:style>
  <w:style w:type="paragraph" w:styleId="841">
    <w:name w:val="toc 9"/>
    <w:basedOn w:val="714"/>
    <w:next w:val="714"/>
    <w:uiPriority w:val="39"/>
    <w:unhideWhenUsed/>
    <w:qFormat/>
    <w:pPr>
      <w:ind w:left="2268"/>
      <w:spacing w:after="57"/>
    </w:pPr>
  </w:style>
  <w:style w:type="paragraph" w:styleId="842">
    <w:name w:val="Normal (Web)"/>
    <w:basedOn w:val="714"/>
    <w:uiPriority w:val="99"/>
    <w:qFormat/>
    <w:pPr>
      <w:jc w:val="left"/>
      <w:spacing w:beforeAutospacing="1" w:afterAutospacing="1"/>
    </w:pPr>
    <w:rPr>
      <w:sz w:val="24"/>
      <w:szCs w:val="24"/>
    </w:rPr>
  </w:style>
  <w:style w:type="paragraph" w:styleId="843">
    <w:name w:val="Title"/>
    <w:basedOn w:val="714"/>
    <w:next w:val="714"/>
    <w:link w:val="844"/>
    <w:uiPriority w:val="10"/>
    <w:qFormat/>
    <w:pPr>
      <w:contextualSpacing/>
      <w:spacing w:before="300" w:after="200"/>
    </w:pPr>
    <w:rPr>
      <w:sz w:val="48"/>
      <w:szCs w:val="48"/>
    </w:rPr>
  </w:style>
  <w:style w:type="character" w:styleId="844" w:customStyle="1">
    <w:name w:val="标题 字符"/>
    <w:link w:val="843"/>
    <w:uiPriority w:val="10"/>
    <w:qFormat/>
    <w:rPr>
      <w:sz w:val="48"/>
      <w:szCs w:val="48"/>
    </w:rPr>
  </w:style>
  <w:style w:type="paragraph" w:styleId="845">
    <w:name w:val="annotation subject"/>
    <w:basedOn w:val="814"/>
    <w:next w:val="814"/>
    <w:link w:val="846"/>
    <w:uiPriority w:val="99"/>
    <w:unhideWhenUsed/>
    <w:qFormat/>
    <w:rPr>
      <w:b/>
      <w:bCs/>
    </w:rPr>
  </w:style>
  <w:style w:type="character" w:styleId="846" w:customStyle="1">
    <w:name w:val="批注主题 字符"/>
    <w:link w:val="845"/>
    <w:uiPriority w:val="99"/>
    <w:semiHidden/>
    <w:qFormat/>
    <w:rPr>
      <w:b/>
      <w:bCs/>
      <w:sz w:val="21"/>
      <w:szCs w:val="22"/>
    </w:r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qFormat/>
    <w:rPr>
      <w:b/>
    </w:rPr>
  </w:style>
  <w:style w:type="character" w:styleId="849">
    <w:name w:val="endnote reference"/>
    <w:uiPriority w:val="99"/>
    <w:semiHidden/>
    <w:unhideWhenUsed/>
    <w:rPr>
      <w:vertAlign w:val="superscript"/>
    </w:rPr>
  </w:style>
  <w:style w:type="character" w:styleId="850">
    <w:name w:val="page number"/>
    <w:unhideWhenUsed/>
    <w:qFormat/>
  </w:style>
  <w:style w:type="character" w:styleId="851">
    <w:name w:val="Hyperlink"/>
    <w:uiPriority w:val="99"/>
    <w:unhideWhenUsed/>
    <w:qFormat/>
    <w:rPr>
      <w:color w:val="0000ff"/>
      <w:u w:val="single"/>
    </w:rPr>
  </w:style>
  <w:style w:type="character" w:styleId="852">
    <w:name w:val="annotation reference"/>
    <w:uiPriority w:val="99"/>
    <w:unhideWhenUsed/>
    <w:qFormat/>
    <w:rPr>
      <w:sz w:val="21"/>
      <w:szCs w:val="21"/>
    </w:rPr>
  </w:style>
  <w:style w:type="character" w:styleId="853">
    <w:name w:val="footnote reference"/>
    <w:uiPriority w:val="99"/>
    <w:unhideWhenUsed/>
    <w:qFormat/>
    <w:rPr>
      <w:vertAlign w:val="superscript"/>
    </w:rPr>
  </w:style>
  <w:style w:type="paragraph" w:styleId="854">
    <w:name w:val="List Paragraph"/>
    <w:basedOn w:val="714"/>
    <w:uiPriority w:val="99"/>
    <w:qFormat/>
    <w:pPr>
      <w:ind w:firstLine="420"/>
      <w:jc w:val="left"/>
      <w:widowControl/>
    </w:pPr>
    <w:rPr>
      <w:rFonts w:ascii="宋体" w:hAnsi="宋体"/>
      <w:sz w:val="24"/>
      <w:szCs w:val="24"/>
    </w:rPr>
  </w:style>
  <w:style w:type="paragraph" w:styleId="855">
    <w:name w:val="No Spacing"/>
    <w:uiPriority w:val="1"/>
    <w:qFormat/>
  </w:style>
  <w:style w:type="paragraph" w:styleId="856">
    <w:name w:val="Quote"/>
    <w:basedOn w:val="714"/>
    <w:next w:val="714"/>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14"/>
    <w:next w:val="714"/>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Header Char"/>
    <w:uiPriority w:val="99"/>
    <w:qFormat/>
  </w:style>
  <w:style w:type="character" w:styleId="861" w:customStyle="1">
    <w:name w:val="Footer Char"/>
    <w:uiPriority w:val="99"/>
    <w:qFormat/>
  </w:style>
  <w:style w:type="character" w:styleId="862" w:customStyle="1">
    <w:name w:val="Caption Char"/>
    <w:uiPriority w:val="99"/>
    <w:qFormat/>
  </w:style>
  <w:style w:type="table" w:styleId="86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8"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88" w:customStyle="1">
    <w:name w:val="TOC 标题1"/>
    <w:uiPriority w:val="39"/>
    <w:unhideWhenUsed/>
    <w:qFormat/>
  </w:style>
  <w:style w:type="paragraph" w:styleId="989" w:customStyle="1">
    <w:name w:val="修订1"/>
    <w:uiPriority w:val="99"/>
    <w:semiHidden/>
    <w:qFormat/>
    <w:rPr>
      <w:sz w:val="21"/>
      <w:szCs w:val="22"/>
    </w:rPr>
  </w:style>
  <w:style w:type="paragraph" w:styleId="990" w:customStyle="1">
    <w:name w:val="_正文段落"/>
    <w:basedOn w:val="714"/>
    <w:qFormat/>
    <w:pPr>
      <w:ind w:firstLine="200"/>
      <w:jc w:val="left"/>
      <w:spacing w:line="360" w:lineRule="auto"/>
    </w:pPr>
    <w:rPr>
      <w:rFonts w:ascii="宋体" w:hAnsi="宋体"/>
      <w:sz w:val="24"/>
      <w:szCs w:val="24"/>
    </w:rPr>
  </w:style>
  <w:style w:type="paragraph" w:styleId="991" w:customStyle="1">
    <w:name w:val="纯文本11"/>
    <w:basedOn w:val="714"/>
    <w:uiPriority w:val="99"/>
    <w:qFormat/>
    <w:rPr>
      <w:rFonts w:ascii="宋体" w:hAnsi="Courier New" w:eastAsia="楷体_GB2312"/>
      <w:sz w:val="26"/>
      <w:szCs w:val="24"/>
    </w:rPr>
  </w:style>
  <w:style w:type="character" w:styleId="992" w:customStyle="1">
    <w:name w:val="页脚 字符"/>
    <w:qFormat/>
    <w:rPr>
      <w:rFonts w:ascii="Calibri" w:hAnsi="Calibri" w:eastAsia="宋体"/>
      <w:sz w:val="18"/>
      <w:szCs w:val="18"/>
    </w:rPr>
  </w:style>
  <w:style w:type="character" w:styleId="993" w:customStyle="1">
    <w:name w:val="纯文本 字符"/>
    <w:uiPriority w:val="99"/>
    <w:semiHidden/>
    <w:qFormat/>
    <w:rPr>
      <w:rFonts w:ascii="宋体" w:hAnsi="Courier New" w:eastAsia="宋体" w:cs="Courier New"/>
      <w:sz w:val="21"/>
      <w:szCs w:val="21"/>
    </w:rPr>
  </w:style>
  <w:style w:type="character" w:styleId="994" w:customStyle="1">
    <w:name w:val="Plain Text Char Char"/>
    <w:link w:val="995"/>
    <w:qFormat/>
    <w:rPr>
      <w:rFonts w:ascii="宋体" w:hAnsi="Courier New" w:eastAsia="楷体_GB2312"/>
      <w:sz w:val="28"/>
    </w:rPr>
  </w:style>
  <w:style w:type="paragraph" w:styleId="995" w:customStyle="1">
    <w:name w:val="纯文本1"/>
    <w:basedOn w:val="714"/>
    <w:link w:val="994"/>
    <w:qFormat/>
    <w:rPr>
      <w:rFonts w:ascii="宋体" w:hAnsi="Courier New" w:eastAsia="楷体_GB2312"/>
      <w:sz w:val="28"/>
      <w:szCs w:val="20"/>
    </w:rPr>
  </w:style>
  <w:style w:type="paragraph" w:styleId="996" w:customStyle="1">
    <w:name w:val="段"/>
    <w:next w:val="714"/>
    <w:qFormat/>
    <w:pPr>
      <w:ind w:firstLine="200"/>
      <w:jc w:val="both"/>
    </w:pPr>
    <w:rPr>
      <w:rFonts w:ascii="宋体" w:hAnsi="宋体"/>
      <w:sz w:val="21"/>
      <w:szCs w:val="21"/>
    </w:rPr>
  </w:style>
  <w:style w:type="character" w:styleId="997" w:customStyle="1">
    <w:name w:val="页眉 字符"/>
    <w:qFormat/>
    <w:rPr>
      <w:sz w:val="18"/>
      <w:szCs w:val="18"/>
    </w:rPr>
  </w:style>
  <w:style w:type="character" w:styleId="998" w:customStyle="1">
    <w:name w:val="批注框文本 字符"/>
    <w:qFormat/>
    <w:rPr>
      <w:sz w:val="18"/>
      <w:szCs w:val="18"/>
    </w:rPr>
  </w:style>
  <w:style w:type="paragraph" w:styleId="999" w:customStyle="1">
    <w:name w:val="彩色列表 - 强调文字颜色 11"/>
    <w:basedOn w:val="714"/>
    <w:qFormat/>
    <w:pPr>
      <w:ind w:firstLine="420"/>
    </w:pPr>
    <w:rPr>
      <w:rFonts w:ascii="Times New Roman" w:hAnsi="Times New Roman"/>
      <w:sz w:val="26"/>
      <w:szCs w:val="24"/>
    </w:rPr>
  </w:style>
  <w:style w:type="paragraph" w:styleId="1000" w:customStyle="1">
    <w:name w:val="正文首行缩进 21"/>
    <w:basedOn w:val="714"/>
    <w:next w:val="714"/>
    <w:qFormat/>
    <w:pPr>
      <w:ind w:left="420" w:firstLine="420"/>
      <w:spacing w:after="120"/>
    </w:pPr>
    <w:rPr>
      <w:sz w:val="20"/>
      <w:szCs w:val="20"/>
    </w:rPr>
  </w:style>
  <w:style w:type="character" w:styleId="1001" w:customStyle="1">
    <w:name w:val="正文缩进 Char"/>
    <w:qFormat/>
    <w:rPr>
      <w:rFonts w:eastAsia="楷体_GB2312"/>
      <w:sz w:val="24"/>
    </w:rPr>
  </w:style>
  <w:style w:type="character" w:styleId="1002" w:customStyle="1">
    <w:name w:val="纯文本 Char"/>
    <w:qFormat/>
    <w:rPr>
      <w:rFonts w:ascii="宋体" w:hAnsi="Courier New" w:eastAsia="楷体_GB2312" w:cs="Times New Roman"/>
      <w:sz w:val="28"/>
    </w:rPr>
  </w:style>
  <w:style w:type="paragraph" w:styleId="1003">
    <w:name w:val="Header"/>
    <w:basedOn w:val="714"/>
    <w:link w:val="1004"/>
    <w:unhideWhenUsed/>
    <w:pPr>
      <w:jc w:val="center"/>
      <w:tabs>
        <w:tab w:val="center" w:pos="4153" w:leader="none"/>
        <w:tab w:val="right" w:pos="8306" w:leader="none"/>
      </w:tabs>
      <w:pBdr>
        <w:bottom w:val="single" w:color="auto" w:sz="6" w:space="1"/>
      </w:pBdr>
    </w:pPr>
    <w:rPr>
      <w:sz w:val="18"/>
      <w:szCs w:val="18"/>
    </w:rPr>
  </w:style>
  <w:style w:type="character" w:styleId="1004" w:customStyle="1">
    <w:name w:val="页眉 字符2"/>
    <w:basedOn w:val="724"/>
    <w:link w:val="1003"/>
    <w:uiPriority w:val="99"/>
    <w:rPr>
      <w:sz w:val="18"/>
      <w:szCs w:val="18"/>
    </w:rPr>
  </w:style>
  <w:style w:type="paragraph" w:styleId="1005">
    <w:name w:val="Footer"/>
    <w:basedOn w:val="714"/>
    <w:link w:val="1006"/>
    <w:unhideWhenUsed/>
    <w:qFormat/>
    <w:pPr>
      <w:jc w:val="left"/>
      <w:tabs>
        <w:tab w:val="center" w:pos="4153" w:leader="none"/>
        <w:tab w:val="right" w:pos="8306" w:leader="none"/>
      </w:tabs>
    </w:pPr>
    <w:rPr>
      <w:sz w:val="18"/>
      <w:szCs w:val="18"/>
    </w:rPr>
  </w:style>
  <w:style w:type="character" w:styleId="1006" w:customStyle="1">
    <w:name w:val="页脚 字符2"/>
    <w:basedOn w:val="724"/>
    <w:link w:val="1005"/>
    <w:uiPriority w:val="99"/>
    <w:rPr>
      <w:sz w:val="18"/>
      <w:szCs w:val="18"/>
    </w:rPr>
  </w:style>
  <w:style w:type="paragraph" w:styleId="1007">
    <w:name w:val="Revision"/>
    <w:hidden/>
    <w:uiPriority w:val="99"/>
    <w:semiHidden/>
    <w:rPr>
      <w:sz w:val="21"/>
      <w:szCs w:val="22"/>
    </w:rPr>
  </w:style>
  <w:style w:type="paragraph" w:styleId="1008" w:customStyle="1">
    <w:name w:val="text"/>
    <w:basedOn w:val="714"/>
    <w:pPr>
      <w:jc w:val="left"/>
      <w:spacing w:before="100" w:beforeAutospacing="1" w:after="100" w:afterAutospacing="1"/>
      <w:widowControl/>
    </w:pPr>
    <w:rPr>
      <w:rFonts w:ascii="宋体" w:hAnsi="宋体" w:cs="宋体"/>
      <w:sz w:val="24"/>
      <w:szCs w:val="24"/>
    </w:rPr>
  </w:style>
  <w:style w:type="paragraph" w:styleId="1009" w:customStyle="1">
    <w:name w:val="纯文本2"/>
    <w:basedOn w:val="714"/>
    <w:qFormat/>
    <w:rPr>
      <w:rFonts w:ascii="宋体" w:hAnsi="Courier New"/>
      <w:szCs w:val="24"/>
    </w:rPr>
  </w:style>
  <w:style w:type="paragraph" w:styleId="1010" w:customStyle="1">
    <w:name w:val="纯文本4"/>
    <w:basedOn w:val="714"/>
    <w:qFormat/>
    <w:rPr>
      <w:rFonts w:ascii="宋体" w:hAnsi="Courier New" w:eastAsia="楷体_GB2312"/>
      <w:sz w:val="26"/>
      <w:szCs w:val="20"/>
    </w:rPr>
  </w:style>
  <w:style w:type="paragraph" w:styleId="1011" w:customStyle="1">
    <w:name w:val="首行缩进"/>
    <w:basedOn w:val="714"/>
    <w:qFormat/>
    <w:pPr>
      <w:ind w:firstLine="480"/>
    </w:pPr>
    <w:rPr>
      <w:rFonts w:ascii="Times New Roman" w:hAnsi="Times New Roman"/>
      <w:szCs w:val="20"/>
      <w:lang w:val="zh-CN"/>
    </w:rPr>
  </w:style>
  <w:style w:type="paragraph" w:styleId="1012">
    <w:name w:val="Body Text Indent"/>
    <w:basedOn w:val="714"/>
    <w:link w:val="1013"/>
    <w:unhideWhenUsed/>
    <w:qFormat/>
    <w:pPr>
      <w:ind w:left="420"/>
      <w:spacing w:after="120"/>
    </w:pPr>
    <w:rPr>
      <w:rFonts w:eastAsia="楷体_GB2312"/>
      <w:sz w:val="26"/>
      <w:szCs w:val="20"/>
    </w:rPr>
  </w:style>
  <w:style w:type="character" w:styleId="1013" w:customStyle="1">
    <w:name w:val="正文文本缩进 字符"/>
    <w:basedOn w:val="724"/>
    <w:link w:val="1012"/>
    <w:rPr>
      <w:rFonts w:eastAsia="楷体_GB2312"/>
      <w:sz w:val="26"/>
    </w:rPr>
  </w:style>
  <w:style w:type="paragraph" w:styleId="1014">
    <w:name w:val="Date"/>
    <w:basedOn w:val="714"/>
    <w:next w:val="714"/>
    <w:link w:val="1015"/>
    <w:pPr>
      <w:ind w:left="100"/>
    </w:pPr>
    <w:rPr>
      <w:rFonts w:ascii="Times New Roman" w:hAnsi="Times New Roman"/>
      <w:sz w:val="28"/>
      <w:szCs w:val="20"/>
    </w:rPr>
  </w:style>
  <w:style w:type="character" w:styleId="1015" w:customStyle="1">
    <w:name w:val="日期 字符"/>
    <w:basedOn w:val="724"/>
    <w:link w:val="1014"/>
    <w:rPr>
      <w:rFonts w:ascii="Times New Roman" w:hAnsi="Times New Roman"/>
      <w:sz w:val="28"/>
    </w:rPr>
  </w:style>
  <w:style w:type="paragraph" w:styleId="1016">
    <w:name w:val="Body Text Indent 2"/>
    <w:basedOn w:val="714"/>
    <w:link w:val="1017"/>
    <w:pPr>
      <w:ind w:firstLine="420"/>
      <w:spacing w:line="560" w:lineRule="exact"/>
    </w:pPr>
    <w:rPr>
      <w:rFonts w:ascii="Times New Roman" w:hAnsi="Times New Roman"/>
      <w:sz w:val="28"/>
      <w:szCs w:val="20"/>
    </w:rPr>
  </w:style>
  <w:style w:type="character" w:styleId="1017" w:customStyle="1">
    <w:name w:val="正文文本缩进 2 字符"/>
    <w:basedOn w:val="724"/>
    <w:link w:val="1016"/>
    <w:rPr>
      <w:rFonts w:ascii="Times New Roman" w:hAnsi="Times New Roman"/>
      <w:sz w:val="28"/>
    </w:rPr>
  </w:style>
  <w:style w:type="character" w:styleId="1018">
    <w:name w:val="FollowedHyperlink"/>
    <w:basedOn w:val="724"/>
    <w:uiPriority w:val="99"/>
    <w:unhideWhenUsed/>
    <w:rPr>
      <w:color w:val="800080"/>
      <w:u w:val="none"/>
    </w:rPr>
  </w:style>
  <w:style w:type="character" w:styleId="1019" w:customStyle="1">
    <w:name w:val="font01"/>
    <w:basedOn w:val="724"/>
    <w:rPr>
      <w:rFonts w:hint="eastAsia" w:ascii="宋体" w:hAnsi="宋体" w:eastAsia="宋体" w:cs="宋体"/>
      <w:i w:val="0"/>
      <w:color w:val="ff0000"/>
      <w:sz w:val="22"/>
      <w:szCs w:val="22"/>
      <w:u w:val="none"/>
    </w:rPr>
  </w:style>
  <w:style w:type="character" w:styleId="1020" w:customStyle="1">
    <w:name w:val="font21"/>
    <w:basedOn w:val="724"/>
    <w:rPr>
      <w:rFonts w:hint="eastAsia" w:ascii="宋体" w:hAnsi="宋体" w:eastAsia="宋体" w:cs="宋体"/>
      <w:b/>
      <w:i w:val="0"/>
      <w:color w:val="000000"/>
      <w:sz w:val="22"/>
      <w:szCs w:val="22"/>
      <w:u w:val="none"/>
    </w:rPr>
  </w:style>
  <w:style w:type="character" w:styleId="1021" w:customStyle="1">
    <w:name w:val="font61"/>
    <w:basedOn w:val="724"/>
    <w:rPr>
      <w:rFonts w:hint="eastAsia" w:ascii="宋体" w:hAnsi="宋体" w:eastAsia="宋体" w:cs="宋体"/>
      <w:i w:val="0"/>
      <w:color w:val="000000"/>
      <w:sz w:val="16"/>
      <w:szCs w:val="16"/>
      <w:u w:val="none"/>
    </w:rPr>
  </w:style>
  <w:style w:type="character" w:styleId="1022" w:customStyle="1">
    <w:name w:val="font41"/>
    <w:basedOn w:val="724"/>
    <w:rPr>
      <w:rFonts w:hint="eastAsia" w:ascii="宋体" w:hAnsi="宋体" w:eastAsia="宋体" w:cs="宋体"/>
      <w:i w:val="0"/>
      <w:color w:val="000000"/>
      <w:sz w:val="24"/>
      <w:szCs w:val="24"/>
      <w:u w:val="none"/>
    </w:rPr>
  </w:style>
  <w:style w:type="character" w:styleId="1023" w:customStyle="1">
    <w:name w:val="font71"/>
    <w:basedOn w:val="724"/>
    <w:rPr>
      <w:rFonts w:hint="eastAsia" w:ascii="宋体" w:hAnsi="宋体" w:eastAsia="宋体" w:cs="宋体"/>
      <w:i w:val="0"/>
      <w:color w:val="000000"/>
      <w:sz w:val="16"/>
      <w:szCs w:val="16"/>
      <w:u w:val="none"/>
    </w:rPr>
  </w:style>
  <w:style w:type="character" w:styleId="1024" w:customStyle="1">
    <w:name w:val="font51"/>
    <w:basedOn w:val="724"/>
    <w:rPr>
      <w:rFonts w:hint="eastAsia" w:ascii="宋体" w:hAnsi="宋体" w:eastAsia="宋体" w:cs="宋体"/>
      <w:i w:val="0"/>
      <w:color w:val="000000"/>
      <w:sz w:val="16"/>
      <w:szCs w:val="16"/>
      <w:u w:val="none"/>
    </w:rPr>
  </w:style>
  <w:style w:type="character" w:styleId="1025" w:customStyle="1">
    <w:name w:val="ui-pg-cp"/>
    <w:basedOn w:val="724"/>
    <w:rPr>
      <w:color w:val="ff0000"/>
    </w:rPr>
  </w:style>
  <w:style w:type="paragraph" w:styleId="1026" w:customStyle="1">
    <w:name w:val="2222"/>
    <w:basedOn w:val="714"/>
    <w:pPr>
      <w:spacing w:line="360" w:lineRule="auto"/>
    </w:pPr>
    <w:rPr>
      <w:rFonts w:ascii="宋体" w:hAnsi="宋体"/>
      <w:sz w:val="24"/>
      <w:szCs w:val="24"/>
    </w:rPr>
  </w:style>
  <w:style w:type="character" w:styleId="1027" w:customStyle="1">
    <w:name w:val="apple-style-span"/>
    <w:basedOn w:val="724"/>
  </w:style>
  <w:style w:type="character" w:styleId="1028" w:customStyle="1">
    <w:name w:val="font11"/>
    <w:basedOn w:val="724"/>
    <w:rPr>
      <w:rFonts w:hint="eastAsia" w:ascii="宋体" w:hAnsi="宋体" w:eastAsia="宋体" w:cs="宋体"/>
      <w:b/>
      <w:bCs/>
      <w:i w:val="0"/>
      <w:iCs w:val="0"/>
      <w:color w:val="000000"/>
      <w:sz w:val="20"/>
      <w:szCs w:val="20"/>
      <w:u w:val="none"/>
    </w:rPr>
  </w:style>
  <w:style w:type="character" w:styleId="1029" w:customStyle="1">
    <w:name w:val="font31"/>
    <w:basedOn w:val="724"/>
    <w:rPr>
      <w:rFonts w:hint="eastAsia" w:ascii="宋体" w:hAnsi="宋体" w:eastAsia="宋体" w:cs="宋体"/>
      <w:i w:val="0"/>
      <w:iCs w:val="0"/>
      <w:color w:val="000000"/>
      <w:sz w:val="20"/>
      <w:szCs w:val="20"/>
      <w:u w:val="none"/>
    </w:rPr>
  </w:style>
  <w:style w:type="paragraph" w:styleId="1030" w:customStyle="1">
    <w:name w:val="目录 51"/>
    <w:next w:val="714"/>
    <w:qFormat/>
    <w:pPr>
      <w:ind w:left="1275"/>
      <w:jc w:val="both"/>
    </w:pPr>
    <w:rPr>
      <w:rFonts w:ascii="Times New Roman" w:hAnsi="Times New Roman"/>
      <w:sz w:val="21"/>
    </w:rPr>
  </w:style>
  <w:style w:type="table" w:styleId="1031" w:customStyle="1">
    <w:name w:val="List Table 3 - Accent 51"/>
    <w:uiPriority w:val="99"/>
    <w:tblPr>
      <w:tblStyleRowBandSize w:val="1"/>
      <w:tblStyleColBandSize w:val="1"/>
      <w:tblInd w:w="0" w:type="dxa"/>
      <w:tblBorders>
        <w:top w:val="single" w:color="9BC2E5" w:sz="4" w:space="0"/>
        <w:left w:val="single" w:color="9BC2E5" w:sz="4" w:space="0"/>
        <w:bottom w:val="single" w:color="9BC2E5" w:sz="4" w:space="0"/>
        <w:right w:val="single" w:color="9BC2E5"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1032" w:customStyle="1">
    <w:name w:val="Grid Table 1 Light - Accent 21"/>
    <w:uiPriority w:val="99"/>
    <w:tblPr>
      <w:tblStyleRowBandSize w:val="1"/>
      <w:tblStyleColBandSize w:val="1"/>
      <w:tblInd w:w="0" w:type="dxa"/>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033" w:customStyle="1">
    <w:name w:val="Grid Table 5 Dark - Accent 6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1efd8" w:fill="e1efd8"/>
      <w:tblCellMar>
        <w:left w:w="0" w:type="dxa"/>
        <w:top w:w="0" w:type="dxa"/>
        <w:right w:w="0"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034" w:customStyle="1">
    <w:name w:val="Bordered - Accent 31"/>
    <w:uiPriority w:val="99"/>
    <w:tblPr>
      <w:tblStyleRowBandSize w:val="1"/>
      <w:tblStyleColBandSize w:val="1"/>
      <w:tblInd w:w="0" w:type="dxa"/>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35" w:customStyle="1">
    <w:name w:val="Grid Table 6 Colorful - Accent 41"/>
    <w:uiPriority w:val="99"/>
    <w:tblPr>
      <w:tblStyleRowBandSize w:val="1"/>
      <w:tblStyleColBandSize w:val="1"/>
      <w:tblInd w:w="0" w:type="dxa"/>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1036" w:customStyle="1">
    <w:name w:val="无格式表格 12"/>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List Table 6 Colorful - Accent 41"/>
    <w:uiPriority w:val="99"/>
    <w:tblPr>
      <w:tblStyleRowBandSize w:val="1"/>
      <w:tblStyleColBandSize w:val="1"/>
      <w:tblInd w:w="0" w:type="dxa"/>
      <w:tblBorders>
        <w:top w:val="single" w:color="FFD865" w:sz="4" w:space="0"/>
        <w:bottom w:val="single" w:color="FFD865" w:sz="4" w:space="0"/>
      </w:tblBorders>
      <w:tblCellMar>
        <w:left w:w="0" w:type="dxa"/>
        <w:top w:w="0" w:type="dxa"/>
        <w:right w:w="0" w:type="dxa"/>
        <w:bottom w:w="0" w:type="dxa"/>
      </w:tblCellMar>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1038" w:customStyle="1">
    <w:name w:val="Grid Table 1 Light - Accent 61"/>
    <w:uiPriority w:val="99"/>
    <w:tblPr>
      <w:tblStyleRowBandSize w:val="1"/>
      <w:tblStyleColBandSize w:val="1"/>
      <w:tblInd w:w="0" w:type="dxa"/>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039" w:customStyle="1">
    <w:name w:val="Grid Table 3 - Accent 41"/>
    <w:uiPriority w:val="99"/>
    <w:tblPr>
      <w:tblStyleRowBandSize w:val="1"/>
      <w:tblStyleColBandSize w:val="1"/>
      <w:tblInd w:w="0" w:type="dxa"/>
      <w:tblBorders>
        <w:bottom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7 Colorful - Accent 21"/>
    <w:uiPriority w:val="99"/>
    <w:tblPr>
      <w:tblStyleRowBandSize w:val="1"/>
      <w:tblStyleColBandSize w:val="1"/>
      <w:tblInd w:w="0" w:type="dxa"/>
      <w:tblBorders>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41" w:customStyle="1">
    <w:name w:val="Grid Table 4 - Accent 11"/>
    <w:uiPriority w:val="59"/>
    <w:tblPr>
      <w:tblStyleRowBandSize w:val="1"/>
      <w:tblStyleColBandSize w:val="1"/>
      <w:tblInd w:w="0" w:type="dxa"/>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0" w:type="dxa"/>
        <w:top w:w="0" w:type="dxa"/>
        <w:right w:w="0" w:type="dxa"/>
        <w:bottom w:w="0" w:type="dxa"/>
      </w:tblCellMar>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1042" w:customStyle="1">
    <w:name w:val="Bordered - Accent 21"/>
    <w:uiPriority w:val="99"/>
    <w:tblPr>
      <w:tblStyleRowBandSize w:val="1"/>
      <w:tblStyleColBandSize w:val="1"/>
      <w:tblInd w:w="0" w:type="dxa"/>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043" w:customStyle="1">
    <w:name w:val="无格式表格 52"/>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4" w:customStyle="1">
    <w:name w:val="Grid Table 3 - Accent 11"/>
    <w:uiPriority w:val="99"/>
    <w:tblPr>
      <w:tblStyleRowBandSize w:val="1"/>
      <w:tblStyleColBandSize w:val="1"/>
      <w:tblInd w:w="0" w:type="dxa"/>
      <w:tblBorders>
        <w:bottom w:val="single" w:color="537DC8" w:sz="4" w:space="0"/>
        <w:insideH w:val="single" w:color="537DC8" w:sz="4" w:space="0"/>
        <w:insideV w:val="single" w:color="537DC8" w:sz="4" w:space="0"/>
      </w:tblBorders>
      <w:tblCellMar>
        <w:left w:w="0" w:type="dxa"/>
        <w:top w:w="0" w:type="dxa"/>
        <w:right w:w="0"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List Table 2 - Accent 51"/>
    <w:uiPriority w:val="99"/>
    <w:tblPr>
      <w:tblStyleRowBandSize w:val="1"/>
      <w:tblStyleColBandSize w:val="1"/>
      <w:tblInd w:w="0" w:type="dxa"/>
      <w:tblBorders>
        <w:top w:val="single" w:color="A2C6E7" w:sz="4" w:space="0"/>
        <w:bottom w:val="single" w:color="A2C6E7" w:sz="4" w:space="0"/>
        <w:insideH w:val="single" w:color="A2C6E7" w:sz="4" w:space="0"/>
      </w:tblBorders>
      <w:tblCellMar>
        <w:left w:w="0" w:type="dxa"/>
        <w:top w:w="0" w:type="dxa"/>
        <w:right w:w="0"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046" w:customStyle="1">
    <w:name w:val="List Table 6 Colorful - Accent 51"/>
    <w:uiPriority w:val="99"/>
    <w:tblPr>
      <w:tblStyleRowBandSize w:val="1"/>
      <w:tblStyleColBandSize w:val="1"/>
      <w:tblInd w:w="0" w:type="dxa"/>
      <w:tblBorders>
        <w:top w:val="single" w:color="9BC2E5" w:sz="4" w:space="0"/>
        <w:bottom w:val="single" w:color="9BC2E5" w:sz="4" w:space="0"/>
      </w:tblBorders>
      <w:tblCellMar>
        <w:left w:w="0" w:type="dxa"/>
        <w:top w:w="0" w:type="dxa"/>
        <w:right w:w="0"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b/>
        <w:color w:val="9bc2e5"/>
      </w:rPr>
    </w:tblStylePr>
    <w:tblStylePr w:type="firstRow">
      <w:rPr>
        <w:b/>
        <w:color w:val="9bc2e5"/>
      </w:rPr>
      <w:tcPr>
        <w:tcBorders>
          <w:bottom w:val="single" w:color="9BC2E5" w:sz="4" w:space="0"/>
        </w:tcBorders>
      </w:tcPr>
    </w:tblStylePr>
    <w:tblStylePr w:type="lastCol">
      <w:rPr>
        <w:b/>
        <w:color w:val="9bc2e5"/>
      </w:rPr>
    </w:tblStylePr>
    <w:tblStylePr w:type="lastRow">
      <w:rPr>
        <w:b/>
        <w:color w:val="9bc2e5"/>
      </w:rPr>
      <w:tcPr>
        <w:tcBorders>
          <w:top w:val="single" w:color="9BC2E5" w:sz="4" w:space="0"/>
        </w:tcBorders>
      </w:tcPr>
    </w:tblStylePr>
  </w:style>
  <w:style w:type="table" w:styleId="1047" w:customStyle="1">
    <w:name w:val="Bordered - Accent 41"/>
    <w:uiPriority w:val="99"/>
    <w:tblPr>
      <w:tblStyleRowBandSize w:val="1"/>
      <w:tblStyleColBandSize w:val="1"/>
      <w:tblInd w:w="0" w:type="dxa"/>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048" w:customStyle="1">
    <w:name w:val="Grid Table 4 - Accent 51"/>
    <w:uiPriority w:val="59"/>
    <w:tblPr>
      <w:tblStyleRowBandSize w:val="1"/>
      <w:tblStyleColBandSize w:val="1"/>
      <w:tblInd w:w="0" w:type="dxa"/>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0" w:type="dxa"/>
        <w:top w:w="0" w:type="dxa"/>
        <w:right w:w="0"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1049" w:customStyle="1">
    <w:name w:val="List Table 5 Dark - Accent 41"/>
    <w:uiPriority w:val="99"/>
    <w:tblPr>
      <w:tblStyleRowBandSize w:val="1"/>
      <w:tblStyleColBandSize w:val="1"/>
      <w:tblInd w:w="0" w:type="dxa"/>
      <w:tblBorders>
        <w:top w:val="single" w:color="FFD865" w:sz="32" w:space="0"/>
        <w:left w:val="single" w:color="FFD865" w:sz="32" w:space="0"/>
        <w:bottom w:val="single" w:color="FFD865" w:sz="32" w:space="0"/>
        <w:right w:val="single" w:color="FFD865" w:sz="32" w:space="0"/>
      </w:tblBorders>
      <w:shd w:val="clear" w:color="ffd865" w:fill="ffd865"/>
      <w:tblCellMar>
        <w:left w:w="0" w:type="dxa"/>
        <w:top w:w="0" w:type="dxa"/>
        <w:right w:w="0" w:type="dxa"/>
        <w:bottom w:w="0" w:type="dxa"/>
      </w:tblCellMar>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050" w:customStyle="1">
    <w:name w:val="List Table 3 - Accent 41"/>
    <w:uiPriority w:val="99"/>
    <w:tblPr>
      <w:tblStyleRowBandSize w:val="1"/>
      <w:tblStyleColBandSize w:val="1"/>
      <w:tblInd w:w="0" w:type="dxa"/>
      <w:tblBorders>
        <w:top w:val="single" w:color="FFD865" w:sz="4" w:space="0"/>
        <w:left w:val="single" w:color="FFD865" w:sz="4" w:space="0"/>
        <w:bottom w:val="single" w:color="FFD865" w:sz="4" w:space="0"/>
        <w:right w:val="single" w:color="FFD865"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051" w:customStyle="1">
    <w:name w:val="Bordered - Accent 51"/>
    <w:uiPriority w:val="99"/>
    <w:tblPr>
      <w:tblStyleRowBandSize w:val="1"/>
      <w:tblStyleColBandSize w:val="1"/>
      <w:tblInd w:w="0" w:type="dxa"/>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1052" w:customStyle="1">
    <w:name w:val="Bordered &amp; Lined - Accent 11"/>
    <w:uiPriority w:val="99"/>
    <w:rPr>
      <w:color w:val="404040"/>
    </w:rPr>
    <w:tblPr>
      <w:tblStyleRowBandSize w:val="1"/>
      <w:tblStyleColBandSize w:val="1"/>
      <w:tblInd w:w="0" w:type="dxa"/>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53" w:customStyle="1">
    <w:name w:val="Grid Table 1 Light - Accent 31"/>
    <w:uiPriority w:val="99"/>
    <w:tblPr>
      <w:tblStyleRowBandSize w:val="1"/>
      <w:tblStyleColBandSize w:val="1"/>
      <w:tblInd w:w="0" w:type="dxa"/>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054" w:customStyle="1">
    <w:name w:val="Lined - Accent 5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55" w:customStyle="1">
    <w:name w:val="Bordered &amp; Lined - Accent 21"/>
    <w:uiPriority w:val="99"/>
    <w:rPr>
      <w:color w:val="404040"/>
    </w:rPr>
    <w:tblPr>
      <w:tblStyleRowBandSize w:val="1"/>
      <w:tblStyleColBandSize w:val="1"/>
      <w:tblInd w:w="0" w:type="dxa"/>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56" w:customStyle="1">
    <w:name w:val="Lined - Accent 2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57" w:customStyle="1">
    <w:name w:val="Lined - Accent 3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58" w:customStyle="1">
    <w:name w:val="Grid Table 7 Colorful - Accent 31"/>
    <w:uiPriority w:val="99"/>
    <w:tblPr>
      <w:tblStyleRowBandSize w:val="1"/>
      <w:tblStyleColBandSize w:val="1"/>
      <w:tblInd w:w="0" w:type="dxa"/>
      <w:tblBorders>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059" w:customStyle="1">
    <w:name w:val="List Table 7 Colorful - Accent 21"/>
    <w:uiPriority w:val="99"/>
    <w:tblPr>
      <w:tblStyleRowBandSize w:val="1"/>
      <w:tblStyleColBandSize w:val="1"/>
      <w:tblInd w:w="0" w:type="dxa"/>
      <w:tblBorders>
        <w:right w:val="single" w:color="F4B184" w:sz="4" w:space="0"/>
      </w:tblBorders>
      <w:tblCellMar>
        <w:left w:w="0" w:type="dxa"/>
        <w:top w:w="0" w:type="dxa"/>
        <w:right w:w="0" w:type="dxa"/>
        <w:bottom w:w="0" w:type="dxa"/>
      </w:tblCellMar>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60" w:customStyle="1">
    <w:name w:val="网格表 6 彩色2"/>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61" w:customStyle="1">
    <w:name w:val="List Table 1 Light - Accent 11"/>
    <w:uiPriority w:val="99"/>
    <w:tblPr>
      <w:tblStyleRowBandSize w:val="1"/>
      <w:tblStyleColBandSize w:val="1"/>
      <w:tblInd w:w="0" w:type="dxa"/>
      <w:tblCellMar>
        <w:left w:w="0" w:type="dxa"/>
        <w:top w:w="0" w:type="dxa"/>
        <w:right w:w="0" w:type="dxa"/>
        <w:bottom w:w="0" w:type="dxa"/>
      </w:tblCellMa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062" w:customStyle="1">
    <w:name w:val="Grid Table 2 - Accent 11"/>
    <w:uiPriority w:val="99"/>
    <w:tblPr>
      <w:tblStyleRowBandSize w:val="1"/>
      <w:tblStyleColBandSize w:val="1"/>
      <w:tblInd w:w="0" w:type="dxa"/>
      <w:tblBorders>
        <w:bottom w:val="single" w:color="537DC8" w:sz="4" w:space="0"/>
        <w:insideH w:val="single" w:color="537DC8" w:sz="4" w:space="0"/>
        <w:insideV w:val="single" w:color="537DC8" w:sz="4" w:space="0"/>
      </w:tblBorders>
      <w:tblCellMar>
        <w:left w:w="0" w:type="dxa"/>
        <w:top w:w="0" w:type="dxa"/>
        <w:right w:w="0"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1063" w:customStyle="1">
    <w:name w:val="Grid Table 2 - Accent 51"/>
    <w:uiPriority w:val="99"/>
    <w:tblPr>
      <w:tblStyleRowBandSize w:val="1"/>
      <w:tblStyleColBandSize w:val="1"/>
      <w:tblInd w:w="0" w:type="dxa"/>
      <w:tblBorders>
        <w:bottom w:val="single" w:color="5B9BD5" w:sz="4" w:space="0"/>
        <w:insideH w:val="single" w:color="5B9BD5" w:sz="4" w:space="0"/>
        <w:insideV w:val="single" w:color="5B9BD5" w:sz="4" w:space="0"/>
      </w:tblBorders>
      <w:tblCellMar>
        <w:left w:w="0" w:type="dxa"/>
        <w:top w:w="0" w:type="dxa"/>
        <w:right w:w="0"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1064" w:customStyle="1">
    <w:name w:val="网格表 3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List Table 3 - Accent 61"/>
    <w:uiPriority w:val="99"/>
    <w:tblPr>
      <w:tblStyleRowBandSize w:val="1"/>
      <w:tblStyleColBandSize w:val="1"/>
      <w:tblInd w:w="0" w:type="dxa"/>
      <w:tblBorders>
        <w:top w:val="single" w:color="A9D08E" w:sz="4" w:space="0"/>
        <w:left w:val="single" w:color="A9D08E" w:sz="4" w:space="0"/>
        <w:bottom w:val="single" w:color="A9D08E" w:sz="4" w:space="0"/>
        <w:right w:val="single" w:color="A9D08E"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66" w:customStyle="1">
    <w:name w:val="Lined - Accent 1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067" w:customStyle="1">
    <w:name w:val="Grid Table 2 - Accent 21"/>
    <w:uiPriority w:val="99"/>
    <w:tblPr>
      <w:tblStyleRowBandSize w:val="1"/>
      <w:tblStyleColBandSize w:val="1"/>
      <w:tblInd w:w="0" w:type="dxa"/>
      <w:tblBorders>
        <w:bottom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068" w:customStyle="1">
    <w:name w:val="Grid Table 7 Colorful - Accent 41"/>
    <w:uiPriority w:val="99"/>
    <w:tblPr>
      <w:tblStyleRowBandSize w:val="1"/>
      <w:tblStyleColBandSize w:val="1"/>
      <w:tblInd w:w="0" w:type="dxa"/>
      <w:tblBorders>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69" w:customStyle="1">
    <w:name w:val="Grid Table 3 - Accent 61"/>
    <w:uiPriority w:val="99"/>
    <w:tblPr>
      <w:tblStyleRowBandSize w:val="1"/>
      <w:tblStyleColBandSize w:val="1"/>
      <w:tblInd w:w="0" w:type="dxa"/>
      <w:tblBorders>
        <w:bottom w:val="single" w:color="70AD47" w:sz="4" w:space="0"/>
        <w:insideH w:val="single" w:color="70AD47" w:sz="4" w:space="0"/>
        <w:insideV w:val="single" w:color="70AD47" w:sz="4" w:space="0"/>
      </w:tblBorders>
      <w:tblCellMar>
        <w:left w:w="0" w:type="dxa"/>
        <w:top w:w="0" w:type="dxa"/>
        <w:right w:w="0"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List Table 5 Dark - Accent 61"/>
    <w:uiPriority w:val="99"/>
    <w:tblPr>
      <w:tblStyleRowBandSize w:val="1"/>
      <w:tblStyleColBandSize w:val="1"/>
      <w:tblInd w:w="0" w:type="dxa"/>
      <w:tblBorders>
        <w:top w:val="single" w:color="A9D08E" w:sz="32" w:space="0"/>
        <w:left w:val="single" w:color="A9D08E" w:sz="32" w:space="0"/>
        <w:bottom w:val="single" w:color="A9D08E" w:sz="32" w:space="0"/>
        <w:right w:val="single" w:color="A9D08E" w:sz="32" w:space="0"/>
      </w:tblBorders>
      <w:shd w:val="clear" w:color="a9d08e" w:fill="a9d08e"/>
      <w:tblCellMar>
        <w:left w:w="0" w:type="dxa"/>
        <w:top w:w="0" w:type="dxa"/>
        <w:right w:w="0"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71" w:customStyle="1">
    <w:name w:val="List Table 5 Dark - Accent 21"/>
    <w:uiPriority w:val="99"/>
    <w:tblPr>
      <w:tblStyleRowBandSize w:val="1"/>
      <w:tblStyleColBandSize w:val="1"/>
      <w:tblInd w:w="0" w:type="dxa"/>
      <w:tblBorders>
        <w:top w:val="single" w:color="F4B184" w:sz="32" w:space="0"/>
        <w:left w:val="single" w:color="F4B184" w:sz="32" w:space="0"/>
        <w:bottom w:val="single" w:color="F4B184" w:sz="32" w:space="0"/>
        <w:right w:val="single" w:color="F4B184" w:sz="32" w:space="0"/>
      </w:tblBorders>
      <w:shd w:val="clear" w:color="f4b184" w:fill="f4b184"/>
      <w:tblCellMar>
        <w:left w:w="0" w:type="dxa"/>
        <w:top w:w="0" w:type="dxa"/>
        <w:right w:w="0" w:type="dxa"/>
        <w:bottom w:w="0" w:type="dxa"/>
      </w:tblCellMar>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072" w:customStyle="1">
    <w:name w:val="List Table 2 - Accent 41"/>
    <w:uiPriority w:val="99"/>
    <w:tblPr>
      <w:tblStyleRowBandSize w:val="1"/>
      <w:tblStyleColBandSize w:val="1"/>
      <w:tblInd w:w="0" w:type="dxa"/>
      <w:tblBorders>
        <w:top w:val="single" w:color="FFDB6F" w:sz="4" w:space="0"/>
        <w:bottom w:val="single" w:color="FFDB6F" w:sz="4" w:space="0"/>
        <w:insideH w:val="single" w:color="FFDB6F" w:sz="4" w:space="0"/>
      </w:tblBorders>
      <w:tblCellMar>
        <w:left w:w="0" w:type="dxa"/>
        <w:top w:w="0" w:type="dxa"/>
        <w:right w:w="0"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073" w:customStyle="1">
    <w:name w:val="Grid Table 3 - Accent 51"/>
    <w:uiPriority w:val="99"/>
    <w:tblPr>
      <w:tblStyleRowBandSize w:val="1"/>
      <w:tblStyleColBandSize w:val="1"/>
      <w:tblInd w:w="0" w:type="dxa"/>
      <w:tblBorders>
        <w:bottom w:val="single" w:color="5B9BD5" w:sz="4" w:space="0"/>
        <w:insideH w:val="single" w:color="5B9BD5" w:sz="4" w:space="0"/>
        <w:insideV w:val="single" w:color="5B9BD5" w:sz="4" w:space="0"/>
      </w:tblBorders>
      <w:tblCellMar>
        <w:left w:w="0" w:type="dxa"/>
        <w:top w:w="0" w:type="dxa"/>
        <w:right w:w="0"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网格表 2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75" w:customStyle="1">
    <w:name w:val="网格表 42"/>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76" w:customStyle="1">
    <w:name w:val="无格式表格 42"/>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7" w:customStyle="1">
    <w:name w:val="List Table 2 - Accent 31"/>
    <w:uiPriority w:val="99"/>
    <w:tblPr>
      <w:tblStyleRowBandSize w:val="1"/>
      <w:tblStyleColBandSize w:val="1"/>
      <w:tblInd w:w="0" w:type="dxa"/>
      <w:tblBorders>
        <w:top w:val="single" w:color="CCCCCC" w:sz="4" w:space="0"/>
        <w:bottom w:val="single" w:color="CCCCCC" w:sz="4" w:space="0"/>
        <w:insideH w:val="single" w:color="CCCCCC" w:sz="4" w:space="0"/>
      </w:tblBorders>
      <w:tblCellMar>
        <w:left w:w="0" w:type="dxa"/>
        <w:top w:w="0" w:type="dxa"/>
        <w:right w:w="0"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078" w:customStyle="1">
    <w:name w:val="List Table 6 Colorful - Accent 21"/>
    <w:uiPriority w:val="99"/>
    <w:tblPr>
      <w:tblStyleRowBandSize w:val="1"/>
      <w:tblStyleColBandSize w:val="1"/>
      <w:tblInd w:w="0" w:type="dxa"/>
      <w:tblBorders>
        <w:top w:val="single" w:color="F4B184" w:sz="4" w:space="0"/>
        <w:bottom w:val="single" w:color="F4B184" w:sz="4" w:space="0"/>
      </w:tblBorders>
      <w:tblCellMar>
        <w:left w:w="0" w:type="dxa"/>
        <w:top w:w="0" w:type="dxa"/>
        <w:right w:w="0" w:type="dxa"/>
        <w:bottom w:w="0" w:type="dxa"/>
      </w:tblCellMar>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1079" w:customStyle="1">
    <w:name w:val="List Table 3 - Accent 11"/>
    <w:uiPriority w:val="99"/>
    <w:tblPr>
      <w:tblStyleRowBandSize w:val="1"/>
      <w:tblStyleColBandSize w:val="1"/>
      <w:tblInd w:w="0" w:type="dxa"/>
      <w:tblBorders>
        <w:top w:val="single" w:color="4472C4" w:sz="4" w:space="0"/>
        <w:left w:val="single" w:color="4472C4" w:sz="4" w:space="0"/>
        <w:bottom w:val="single" w:color="4472C4" w:sz="4" w:space="0"/>
        <w:right w:val="single" w:color="4472C4"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80" w:customStyle="1">
    <w:name w:val="List Table 4 - Accent 31"/>
    <w:uiPriority w:val="99"/>
    <w:tblPr>
      <w:tblStyleRowBandSize w:val="1"/>
      <w:tblStyleColBandSize w:val="1"/>
      <w:tblInd w:w="0" w:type="dxa"/>
      <w:tblBorders>
        <w:top w:val="single" w:color="CCCCCC" w:sz="4" w:space="0"/>
        <w:left w:val="single" w:color="CCCCCC" w:sz="4" w:space="0"/>
        <w:bottom w:val="single" w:color="CCCCCC" w:sz="4" w:space="0"/>
        <w:right w:val="single" w:color="CCCCCC" w:sz="4" w:space="0"/>
        <w:insideH w:val="single" w:color="CCCCCC" w:sz="4" w:space="0"/>
      </w:tblBorders>
      <w:tblCellMar>
        <w:left w:w="0" w:type="dxa"/>
        <w:top w:w="0" w:type="dxa"/>
        <w:right w:w="0"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81" w:customStyle="1">
    <w:name w:val="网格表 7 彩色2"/>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82" w:customStyle="1">
    <w:name w:val="Bordered &amp; Lined - Accent 1"/>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83" w:customStyle="1">
    <w:name w:val="Bordered &amp; Lined - Accent 31"/>
    <w:uiPriority w:val="99"/>
    <w:rPr>
      <w:color w:val="404040"/>
    </w:rPr>
    <w:tblPr>
      <w:tblStyleRowBandSize w:val="1"/>
      <w:tblStyleColBandSize w:val="1"/>
      <w:tblInd w:w="0" w:type="dxa"/>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84" w:customStyle="1">
    <w:name w:val="List Table 1 Light - Accent 61"/>
    <w:uiPriority w:val="99"/>
    <w:tblPr>
      <w:tblStyleRowBandSize w:val="1"/>
      <w:tblStyleColBandSize w:val="1"/>
      <w:tblInd w:w="0" w:type="dxa"/>
      <w:tblCellMar>
        <w:left w:w="0" w:type="dxa"/>
        <w:top w:w="0" w:type="dxa"/>
        <w:right w:w="0"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085" w:customStyle="1">
    <w:name w:val="List Table 6 Colorful - Accent 11"/>
    <w:uiPriority w:val="99"/>
    <w:tblPr>
      <w:tblStyleRowBandSize w:val="1"/>
      <w:tblStyleColBandSize w:val="1"/>
      <w:tblInd w:w="0" w:type="dxa"/>
      <w:tblBorders>
        <w:top w:val="single" w:color="4472C4" w:sz="4" w:space="0"/>
        <w:bottom w:val="single" w:color="4472C4" w:sz="4" w:space="0"/>
      </w:tblBorders>
      <w:tblCellMar>
        <w:left w:w="0" w:type="dxa"/>
        <w:top w:w="0" w:type="dxa"/>
        <w:right w:w="0" w:type="dxa"/>
        <w:bottom w:w="0" w:type="dxa"/>
      </w:tblCellMar>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4" w:space="0"/>
        </w:tcBorders>
      </w:tcPr>
    </w:tblStylePr>
    <w:tblStylePr w:type="lastCol">
      <w:rPr>
        <w:b/>
        <w:color w:val="254175"/>
      </w:rPr>
    </w:tblStylePr>
    <w:tblStylePr w:type="lastRow">
      <w:rPr>
        <w:b/>
        <w:color w:val="254175"/>
      </w:rPr>
      <w:tcPr>
        <w:tcBorders>
          <w:top w:val="single" w:color="4472C4" w:sz="4" w:space="0"/>
        </w:tcBorders>
      </w:tcPr>
    </w:tblStylePr>
  </w:style>
  <w:style w:type="table" w:styleId="1086" w:customStyle="1">
    <w:name w:val="List Table 4 - Accent 61"/>
    <w:uiPriority w:val="99"/>
    <w:tblPr>
      <w:tblStyleRowBandSize w:val="1"/>
      <w:tblStyleColBandSize w:val="1"/>
      <w:tblInd w:w="0" w:type="dxa"/>
      <w:tblBorders>
        <w:top w:val="single" w:color="ADD394" w:sz="4" w:space="0"/>
        <w:left w:val="single" w:color="ADD394" w:sz="4" w:space="0"/>
        <w:bottom w:val="single" w:color="ADD394" w:sz="4" w:space="0"/>
        <w:right w:val="single" w:color="ADD394" w:sz="4" w:space="0"/>
        <w:insideH w:val="single" w:color="ADD394" w:sz="4" w:space="0"/>
      </w:tblBorders>
      <w:tblCellMar>
        <w:left w:w="0" w:type="dxa"/>
        <w:top w:w="0" w:type="dxa"/>
        <w:right w:w="0"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87" w:customStyle="1">
    <w:name w:val="List Table 7 Colorful - Accent 11"/>
    <w:uiPriority w:val="99"/>
    <w:tblPr>
      <w:tblStyleRowBandSize w:val="1"/>
      <w:tblStyleColBandSize w:val="1"/>
      <w:tblInd w:w="0" w:type="dxa"/>
      <w:tblBorders>
        <w:right w:val="single" w:color="4472C4" w:sz="4" w:space="0"/>
      </w:tblBorders>
      <w:tblCellMar>
        <w:left w:w="0" w:type="dxa"/>
        <w:top w:w="0" w:type="dxa"/>
        <w:right w:w="0" w:type="dxa"/>
        <w:bottom w:w="0" w:type="dxa"/>
      </w:tblCellMar>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54175"/>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54175"/>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1088" w:customStyle="1">
    <w:name w:val="Bordered &amp; Lined - Accent 51"/>
    <w:uiPriority w:val="99"/>
    <w:rPr>
      <w:color w:val="404040"/>
    </w:rPr>
    <w:tblPr>
      <w:tblStyleRowBandSize w:val="1"/>
      <w:tblStyleColBandSize w:val="1"/>
      <w:tblInd w:w="0" w:type="dxa"/>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089" w:customStyle="1">
    <w:name w:val="Grid Table 4 - Accent 31"/>
    <w:uiPriority w:val="59"/>
    <w:tblPr>
      <w:tblStyleRowBandSize w:val="1"/>
      <w:tblStyleColBandSize w:val="1"/>
      <w:tblInd w:w="0" w:type="dxa"/>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0" w:type="dxa"/>
        <w:top w:w="0" w:type="dxa"/>
        <w:right w:w="0"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090" w:customStyle="1">
    <w:name w:val="清单表 1 浅色2"/>
    <w:uiPriority w:val="99"/>
    <w:tblPr>
      <w:tblStyleRowBandSize w:val="1"/>
      <w:tblStyleColBandSize w:val="1"/>
      <w:tblInd w:w="0" w:type="dxa"/>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1" w:customStyle="1">
    <w:name w:val="List Table 5 Dark - Accent 51"/>
    <w:uiPriority w:val="99"/>
    <w:tblPr>
      <w:tblStyleRowBandSize w:val="1"/>
      <w:tblStyleColBandSize w:val="1"/>
      <w:tblInd w:w="0" w:type="dxa"/>
      <w:tblBorders>
        <w:top w:val="single" w:color="9BC2E5" w:sz="32" w:space="0"/>
        <w:left w:val="single" w:color="9BC2E5" w:sz="32" w:space="0"/>
        <w:bottom w:val="single" w:color="9BC2E5" w:sz="32" w:space="0"/>
        <w:right w:val="single" w:color="9BC2E5" w:sz="32" w:space="0"/>
      </w:tblBorders>
      <w:shd w:val="clear" w:color="9bc2e5" w:fill="9bc2e5"/>
      <w:tblCellMar>
        <w:left w:w="0" w:type="dxa"/>
        <w:top w:w="0" w:type="dxa"/>
        <w:right w:w="0" w:type="dxa"/>
        <w:bottom w:w="0" w:type="dxa"/>
      </w:tblCellMar>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1092" w:customStyle="1">
    <w:name w:val="清单表 7 彩色2"/>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93" w:customStyle="1">
    <w:name w:val="List Table 4 - Accent 11"/>
    <w:uiPriority w:val="99"/>
    <w:tblPr>
      <w:tblStyleRowBandSize w:val="1"/>
      <w:tblStyleColBandSize w:val="1"/>
      <w:tblInd w:w="0" w:type="dxa"/>
      <w:tblBorders>
        <w:top w:val="single" w:color="95AFDD" w:sz="4" w:space="0"/>
        <w:left w:val="single" w:color="95AFDD" w:sz="4" w:space="0"/>
        <w:bottom w:val="single" w:color="95AFDD" w:sz="4" w:space="0"/>
        <w:right w:val="single" w:color="95AFDD" w:sz="4" w:space="0"/>
        <w:insideH w:val="single" w:color="95AFDD" w:sz="4" w:space="0"/>
      </w:tblBorders>
      <w:tblCellMar>
        <w:left w:w="0" w:type="dxa"/>
        <w:top w:w="0" w:type="dxa"/>
        <w:right w:w="0"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94" w:customStyle="1">
    <w:name w:val="Grid Table 4 - Accent 41"/>
    <w:uiPriority w:val="59"/>
    <w:tblPr>
      <w:tblStyleRowBandSize w:val="1"/>
      <w:tblStyleColBandSize w:val="1"/>
      <w:tblInd w:w="0" w:type="dxa"/>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CellMar>
        <w:left w:w="0" w:type="dxa"/>
        <w:top w:w="0" w:type="dxa"/>
        <w:right w:w="0"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095" w:customStyle="1">
    <w:name w:val="Grid Table 5 Dark- Accent 1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8e2f3" w:fill="d8e2f3"/>
      <w:tblCellMar>
        <w:left w:w="0" w:type="dxa"/>
        <w:top w:w="0" w:type="dxa"/>
        <w:right w:w="0" w:type="dxa"/>
        <w:bottom w:w="0" w:type="dxa"/>
      </w:tblCellMar>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096" w:customStyle="1">
    <w:name w:val="Grid Table 4 - Accent 61"/>
    <w:uiPriority w:val="59"/>
    <w:tblPr>
      <w:tblStyleRowBandSize w:val="1"/>
      <w:tblStyleColBandSize w:val="1"/>
      <w:tblInd w:w="0" w:type="dxa"/>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097" w:customStyle="1">
    <w:name w:val="Bordered1"/>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98" w:customStyle="1">
    <w:name w:val="Lined - Accent 6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99" w:customStyle="1">
    <w:name w:val="List Table 1 Light - Accent 31"/>
    <w:uiPriority w:val="99"/>
    <w:tblPr>
      <w:tblStyleRowBandSize w:val="1"/>
      <w:tblStyleColBandSize w:val="1"/>
      <w:tblInd w:w="0" w:type="dxa"/>
      <w:tblCellMar>
        <w:left w:w="0" w:type="dxa"/>
        <w:top w:w="0" w:type="dxa"/>
        <w:right w:w="0"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100" w:customStyle="1">
    <w:name w:val="Bordered - Accent 61"/>
    <w:uiPriority w:val="99"/>
    <w:tblPr>
      <w:tblStyleRowBandSize w:val="1"/>
      <w:tblStyleColBandSize w:val="1"/>
      <w:tblInd w:w="0" w:type="dxa"/>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table" w:styleId="1101" w:customStyle="1">
    <w:name w:val="Bordered &amp; Lined - Accent 41"/>
    <w:uiPriority w:val="99"/>
    <w:rPr>
      <w:color w:val="404040"/>
    </w:rPr>
    <w:tblPr>
      <w:tblStyleRowBandSize w:val="1"/>
      <w:tblStyleColBandSize w:val="1"/>
      <w:tblInd w:w="0" w:type="dxa"/>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02" w:customStyle="1">
    <w:name w:val="List Table 4 - Accent 41"/>
    <w:uiPriority w:val="99"/>
    <w:tblPr>
      <w:tblStyleRowBandSize w:val="1"/>
      <w:tblStyleColBandSize w:val="1"/>
      <w:tblInd w:w="0" w:type="dxa"/>
      <w:tblBorders>
        <w:top w:val="single" w:color="FFDB6F" w:sz="4" w:space="0"/>
        <w:left w:val="single" w:color="FFDB6F" w:sz="4" w:space="0"/>
        <w:bottom w:val="single" w:color="FFDB6F" w:sz="4" w:space="0"/>
        <w:right w:val="single" w:color="FFDB6F" w:sz="4" w:space="0"/>
        <w:insideH w:val="single" w:color="FFDB6F" w:sz="4" w:space="0"/>
      </w:tblBorders>
      <w:tblCellMar>
        <w:left w:w="0" w:type="dxa"/>
        <w:top w:w="0" w:type="dxa"/>
        <w:right w:w="0"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103" w:customStyle="1">
    <w:name w:val="List Table 7 Colorful - Accent 41"/>
    <w:uiPriority w:val="99"/>
    <w:tblPr>
      <w:tblStyleRowBandSize w:val="1"/>
      <w:tblStyleColBandSize w:val="1"/>
      <w:tblInd w:w="0" w:type="dxa"/>
      <w:tblBorders>
        <w:right w:val="single" w:color="FFD865" w:sz="4" w:space="0"/>
      </w:tblBorders>
      <w:tblCellMar>
        <w:left w:w="0" w:type="dxa"/>
        <w:top w:w="0" w:type="dxa"/>
        <w:right w:w="0" w:type="dxa"/>
        <w:bottom w:w="0" w:type="dxa"/>
      </w:tblCellMar>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04" w:customStyle="1">
    <w:name w:val="Grid Table 6 Colorful - Accent 31"/>
    <w:uiPriority w:val="99"/>
    <w:tblPr>
      <w:tblStyleRowBandSize w:val="1"/>
      <w:tblStyleColBandSize w:val="1"/>
      <w:tblInd w:w="0" w:type="dxa"/>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10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06" w:customStyle="1">
    <w:name w:val="无格式表格 2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清单表 5 深色2"/>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08" w:customStyle="1">
    <w:name w:val="Grid Table 7 Colorful - Accent 11"/>
    <w:uiPriority w:val="99"/>
    <w:tblPr>
      <w:tblStyleRowBandSize w:val="1"/>
      <w:tblStyleColBandSize w:val="1"/>
      <w:tblInd w:w="0" w:type="dxa"/>
      <w:tblBorders>
        <w:bottom w:val="single" w:color="A0B7E1" w:sz="4" w:space="0"/>
        <w:right w:val="single" w:color="A0B7E1" w:sz="4" w:space="0"/>
        <w:insideH w:val="single" w:color="A0B7E1" w:sz="4" w:space="0"/>
        <w:insideV w:val="single" w:color="A0B7E1" w:sz="4" w:space="0"/>
      </w:tblBorders>
      <w:tblCellMar>
        <w:left w:w="0" w:type="dxa"/>
        <w:top w:w="0" w:type="dxa"/>
        <w:right w:w="0" w:type="dxa"/>
        <w:bottom w:w="0" w:type="dxa"/>
      </w:tblCellMar>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rFonts w:ascii="Arial" w:hAnsi="Arial"/>
        <w:i/>
        <w:color w:val="a0b7e1"/>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a0b7e1"/>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a0b7e1"/>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a0b7e1"/>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1109" w:customStyle="1">
    <w:name w:val="Grid Table 5 Dark - Accent 2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5d6" w:fill="fbe5d6"/>
      <w:tblCellMar>
        <w:left w:w="0" w:type="dxa"/>
        <w:top w:w="0" w:type="dxa"/>
        <w:right w:w="0"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110" w:customStyle="1">
    <w:name w:val="Grid Table 2 - Accent 31"/>
    <w:uiPriority w:val="99"/>
    <w:tblPr>
      <w:tblStyleRowBandSize w:val="1"/>
      <w:tblStyleColBandSize w:val="1"/>
      <w:tblInd w:w="0" w:type="dxa"/>
      <w:tblBorders>
        <w:bottom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111" w:customStyle="1">
    <w:name w:val="Grid Table 1 Light - Accent 11"/>
    <w:uiPriority w:val="99"/>
    <w:tblPr>
      <w:tblStyleRowBandSize w:val="1"/>
      <w:tblStyleColBandSize w:val="1"/>
      <w:tblInd w:w="0" w:type="dxa"/>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112" w:customStyle="1">
    <w:name w:val="网格表 1 浅色2"/>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13" w:customStyle="1">
    <w:name w:val="List Table 1 Light - Accent 41"/>
    <w:uiPriority w:val="99"/>
    <w:tblPr>
      <w:tblStyleRowBandSize w:val="1"/>
      <w:tblStyleColBandSize w:val="1"/>
      <w:tblInd w:w="0" w:type="dxa"/>
      <w:tblCellMar>
        <w:left w:w="0" w:type="dxa"/>
        <w:top w:w="0" w:type="dxa"/>
        <w:right w:w="0" w:type="dxa"/>
        <w:bottom w:w="0" w:type="dxa"/>
      </w:tblCellMa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114" w:customStyle="1">
    <w:name w:val="Grid Table 7 Colorful - Accent 51"/>
    <w:uiPriority w:val="99"/>
    <w:tblPr>
      <w:tblStyleRowBandSize w:val="1"/>
      <w:tblStyleColBandSize w:val="1"/>
      <w:tblInd w:w="0" w:type="dxa"/>
      <w:tblBorders>
        <w:bottom w:val="single" w:color="A2C6E7" w:sz="4" w:space="0"/>
        <w:right w:val="single" w:color="A2C6E7" w:sz="4" w:space="0"/>
        <w:insideH w:val="single" w:color="A2C6E7" w:sz="4" w:space="0"/>
        <w:insideV w:val="single" w:color="A2C6E7" w:sz="4" w:space="0"/>
      </w:tblBorders>
      <w:tblCellMar>
        <w:left w:w="0" w:type="dxa"/>
        <w:top w:w="0" w:type="dxa"/>
        <w:right w:w="0" w:type="dxa"/>
        <w:bottom w:w="0" w:type="dxa"/>
      </w:tblCellMar>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d"/>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d"/>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1115" w:customStyle="1">
    <w:name w:val="Bordered - Accent 11"/>
    <w:uiPriority w:val="99"/>
    <w:tblPr>
      <w:tblStyleRowBandSize w:val="1"/>
      <w:tblStyleColBandSize w:val="1"/>
      <w:tblInd w:w="0" w:type="dxa"/>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paragraph" w:styleId="1116" w:customStyle="1">
    <w:name w:val="题注2"/>
    <w:basedOn w:val="714"/>
    <w:next w:val="714"/>
    <w:uiPriority w:val="35"/>
    <w:semiHidden/>
    <w:unhideWhenUsed/>
    <w:qFormat/>
    <w:pPr>
      <w:spacing w:line="276" w:lineRule="auto"/>
    </w:pPr>
    <w:rPr>
      <w:b/>
      <w:bCs/>
      <w:color w:val="4472c4"/>
      <w:sz w:val="18"/>
      <w:szCs w:val="18"/>
    </w:rPr>
  </w:style>
  <w:style w:type="table" w:styleId="1117" w:customStyle="1">
    <w:name w:val="List Table 6 Colorful - Accent 31"/>
    <w:uiPriority w:val="99"/>
    <w:tblPr>
      <w:tblStyleRowBandSize w:val="1"/>
      <w:tblStyleColBandSize w:val="1"/>
      <w:tblInd w:w="0" w:type="dxa"/>
      <w:tblBorders>
        <w:top w:val="single" w:color="C9C9C9" w:sz="4" w:space="0"/>
        <w:bottom w:val="single" w:color="C9C9C9" w:sz="4" w:space="0"/>
      </w:tblBorders>
      <w:tblCellMar>
        <w:left w:w="0" w:type="dxa"/>
        <w:top w:w="0" w:type="dxa"/>
        <w:right w:w="0"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118" w:customStyle="1">
    <w:name w:val="Grid Table 6 Colorful - Accent 61"/>
    <w:uiPriority w:val="99"/>
    <w:tblPr>
      <w:tblStyleRowBandSize w:val="1"/>
      <w:tblStyleColBandSize w:val="1"/>
      <w:tblInd w:w="0" w:type="dxa"/>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0" w:type="dxa"/>
        <w:top w:w="0" w:type="dxa"/>
        <w:right w:w="0" w:type="dxa"/>
        <w:bottom w:w="0" w:type="dxa"/>
      </w:tblCellMar>
    </w:tblPr>
    <w:tblStylePr w:type="band1Horz">
      <w:rPr>
        <w:rFonts w:ascii="Arial" w:hAnsi="Arial"/>
        <w:color w:val="245a8d"/>
        <w:sz w:val="22"/>
      </w:rPr>
      <w:tcPr>
        <w:shd w:val="clear" w:color="e1efd8" w:fill="e1efd8"/>
      </w:tcPr>
    </w:tblStylePr>
    <w:tblStylePr w:type="band1Vert">
      <w:tcPr>
        <w:shd w:val="clear" w:color="e1efd8" w:fill="e1efd8"/>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70AD47" w:sz="12" w:space="0"/>
        </w:tcBorders>
      </w:tcPr>
    </w:tblStylePr>
    <w:tblStylePr w:type="lastCol">
      <w:rPr>
        <w:b/>
        <w:color w:val="245a8d"/>
      </w:rPr>
    </w:tblStylePr>
    <w:tblStylePr w:type="lastRow">
      <w:rPr>
        <w:b/>
        <w:color w:val="245a8d"/>
      </w:rPr>
    </w:tblStylePr>
  </w:style>
  <w:style w:type="table" w:styleId="1119" w:customStyle="1">
    <w:name w:val="List Table 1 Light - Accent 51"/>
    <w:uiPriority w:val="99"/>
    <w:tblPr>
      <w:tblStyleRowBandSize w:val="1"/>
      <w:tblStyleColBandSize w:val="1"/>
      <w:tblInd w:w="0" w:type="dxa"/>
      <w:tblCellMar>
        <w:left w:w="0" w:type="dxa"/>
        <w:top w:w="0" w:type="dxa"/>
        <w:right w:w="0"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120" w:customStyle="1">
    <w:name w:val="List Table 5 Dark - Accent 11"/>
    <w:uiPriority w:val="99"/>
    <w:tblPr>
      <w:tblStyleRowBandSize w:val="1"/>
      <w:tblStyleColBandSize w:val="1"/>
      <w:tblInd w:w="0" w:type="dxa"/>
      <w:tblBorders>
        <w:top w:val="single" w:color="4472C4" w:sz="32" w:space="0"/>
        <w:left w:val="single" w:color="4472C4" w:sz="32" w:space="0"/>
        <w:bottom w:val="single" w:color="4472C4" w:sz="32" w:space="0"/>
        <w:right w:val="single" w:color="4472C4" w:sz="32" w:space="0"/>
      </w:tblBorders>
      <w:shd w:val="clear" w:color="4472c4" w:fill="4472c4"/>
      <w:tblCellMar>
        <w:left w:w="0" w:type="dxa"/>
        <w:top w:w="0" w:type="dxa"/>
        <w:right w:w="0" w:type="dxa"/>
        <w:bottom w:w="0" w:type="dxa"/>
      </w:tblCellMar>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1121" w:customStyle="1">
    <w:name w:val="Grid Table 5 Dark - Accent 3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cecec" w:fill="ececec"/>
      <w:tblCellMar>
        <w:left w:w="0" w:type="dxa"/>
        <w:top w:w="0" w:type="dxa"/>
        <w:right w:w="0"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122" w:customStyle="1">
    <w:name w:val="List Table 2 - Accent 11"/>
    <w:uiPriority w:val="99"/>
    <w:tblPr>
      <w:tblStyleRowBandSize w:val="1"/>
      <w:tblStyleColBandSize w:val="1"/>
      <w:tblInd w:w="0" w:type="dxa"/>
      <w:tblBorders>
        <w:top w:val="single" w:color="95AFDD" w:sz="4" w:space="0"/>
        <w:bottom w:val="single" w:color="95AFDD" w:sz="4" w:space="0"/>
        <w:insideH w:val="single" w:color="95AFDD" w:sz="4" w:space="0"/>
      </w:tblBorders>
      <w:tblCellMar>
        <w:left w:w="0" w:type="dxa"/>
        <w:top w:w="0" w:type="dxa"/>
        <w:right w:w="0"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123" w:customStyle="1">
    <w:name w:val="List Table 6 Colorful - Accent 61"/>
    <w:uiPriority w:val="99"/>
    <w:tblPr>
      <w:tblStyleRowBandSize w:val="1"/>
      <w:tblStyleColBandSize w:val="1"/>
      <w:tblInd w:w="0" w:type="dxa"/>
      <w:tblBorders>
        <w:top w:val="single" w:color="A9D08E" w:sz="4" w:space="0"/>
        <w:bottom w:val="single" w:color="A9D08E" w:sz="4" w:space="0"/>
      </w:tblBorders>
      <w:tblCellMar>
        <w:left w:w="0" w:type="dxa"/>
        <w:top w:w="0" w:type="dxa"/>
        <w:right w:w="0"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1124" w:customStyle="1">
    <w:name w:val="List Table 4 - Accent 21"/>
    <w:uiPriority w:val="99"/>
    <w:tblPr>
      <w:tblStyleRowBandSize w:val="1"/>
      <w:tblStyleColBandSize w:val="1"/>
      <w:tblInd w:w="0" w:type="dxa"/>
      <w:tblBorders>
        <w:top w:val="single" w:color="F4B58A" w:sz="4" w:space="0"/>
        <w:left w:val="single" w:color="F4B58A" w:sz="4" w:space="0"/>
        <w:bottom w:val="single" w:color="F4B58A" w:sz="4" w:space="0"/>
        <w:right w:val="single" w:color="F4B58A" w:sz="4" w:space="0"/>
        <w:insideH w:val="single" w:color="F4B58A" w:sz="4" w:space="0"/>
      </w:tblBorders>
      <w:tblCellMar>
        <w:left w:w="0" w:type="dxa"/>
        <w:top w:w="0" w:type="dxa"/>
        <w:right w:w="0"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125" w:customStyle="1">
    <w:name w:val="List Table 3 - Accent 21"/>
    <w:uiPriority w:val="99"/>
    <w:tblPr>
      <w:tblStyleRowBandSize w:val="1"/>
      <w:tblStyleColBandSize w:val="1"/>
      <w:tblInd w:w="0" w:type="dxa"/>
      <w:tblBorders>
        <w:top w:val="single" w:color="F4B184" w:sz="4" w:space="0"/>
        <w:left w:val="single" w:color="F4B184" w:sz="4" w:space="0"/>
        <w:bottom w:val="single" w:color="F4B184" w:sz="4" w:space="0"/>
        <w:right w:val="single" w:color="F4B184"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126" w:customStyle="1">
    <w:name w:val="Grid Table 1 Light - Accent 41"/>
    <w:uiPriority w:val="99"/>
    <w:tblPr>
      <w:tblStyleRowBandSize w:val="1"/>
      <w:tblStyleColBandSize w:val="1"/>
      <w:tblInd w:w="0" w:type="dxa"/>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127" w:customStyle="1">
    <w:name w:val="Lined - Accent 4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28" w:customStyle="1">
    <w:name w:val="清单表 2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29" w:customStyle="1">
    <w:name w:val="Grid Table 6 Colorful - Accent 21"/>
    <w:uiPriority w:val="99"/>
    <w:tblPr>
      <w:tblStyleRowBandSize w:val="1"/>
      <w:tblStyleColBandSize w:val="1"/>
      <w:tblInd w:w="0" w:type="dxa"/>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1130" w:customStyle="1">
    <w:name w:val="Grid Table 5 Dark - Accent 5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deaf6" w:fill="ddeaf6"/>
      <w:tblCellMar>
        <w:left w:w="0" w:type="dxa"/>
        <w:top w:w="0" w:type="dxa"/>
        <w:right w:w="0" w:type="dxa"/>
        <w:bottom w:w="0" w:type="dxa"/>
      </w:tblCellMar>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131" w:customStyle="1">
    <w:name w:val="Grid Table 4 - Accent 21"/>
    <w:uiPriority w:val="59"/>
    <w:tblPr>
      <w:tblStyleRowBandSize w:val="1"/>
      <w:tblStyleColBandSize w:val="1"/>
      <w:tblInd w:w="0" w:type="dxa"/>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0" w:type="dxa"/>
        <w:top w:w="0" w:type="dxa"/>
        <w:right w:w="0"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132" w:customStyle="1">
    <w:name w:val="Grid Table 2 - Accent 41"/>
    <w:uiPriority w:val="99"/>
    <w:tblPr>
      <w:tblStyleRowBandSize w:val="1"/>
      <w:tblStyleColBandSize w:val="1"/>
      <w:tblInd w:w="0" w:type="dxa"/>
      <w:tblBorders>
        <w:bottom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133" w:customStyle="1">
    <w:name w:val="List Table 1 Light - Accent 21"/>
    <w:uiPriority w:val="99"/>
    <w:tblPr>
      <w:tblStyleRowBandSize w:val="1"/>
      <w:tblStyleColBandSize w:val="1"/>
      <w:tblInd w:w="0" w:type="dxa"/>
      <w:tblCellMar>
        <w:left w:w="0" w:type="dxa"/>
        <w:top w:w="0" w:type="dxa"/>
        <w:right w:w="0"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134" w:customStyle="1">
    <w:name w:val="List Table 3 - Accent 31"/>
    <w:uiPriority w:val="99"/>
    <w:tblPr>
      <w:tblStyleRowBandSize w:val="1"/>
      <w:tblStyleColBandSize w:val="1"/>
      <w:tblInd w:w="0" w:type="dxa"/>
      <w:tblBorders>
        <w:top w:val="single" w:color="C9C9C9" w:sz="4" w:space="0"/>
        <w:left w:val="single" w:color="C9C9C9" w:sz="4" w:space="0"/>
        <w:bottom w:val="single" w:color="C9C9C9" w:sz="4" w:space="0"/>
        <w:right w:val="single" w:color="C9C9C9"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135" w:customStyle="1">
    <w:name w:val="Grid Table 7 Colorful - Accent 61"/>
    <w:uiPriority w:val="99"/>
    <w:tblPr>
      <w:tblStyleRowBandSize w:val="1"/>
      <w:tblStyleColBandSize w:val="1"/>
      <w:tblInd w:w="0" w:type="dxa"/>
      <w:tblBorders>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136" w:customStyle="1">
    <w:name w:val="网格表 5 深色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37" w:customStyle="1">
    <w:name w:val="清单表 6 彩色2"/>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38" w:customStyle="1">
    <w:name w:val="清单表 42"/>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39" w:customStyle="1">
    <w:name w:val="List Table 2 - Accent 21"/>
    <w:uiPriority w:val="99"/>
    <w:tblPr>
      <w:tblStyleRowBandSize w:val="1"/>
      <w:tblStyleColBandSize w:val="1"/>
      <w:tblInd w:w="0" w:type="dxa"/>
      <w:tblBorders>
        <w:top w:val="single" w:color="F4B58A" w:sz="4" w:space="0"/>
        <w:bottom w:val="single" w:color="F4B58A" w:sz="4" w:space="0"/>
        <w:insideH w:val="single" w:color="F4B58A" w:sz="4" w:space="0"/>
      </w:tblBorders>
      <w:tblCellMar>
        <w:left w:w="0" w:type="dxa"/>
        <w:top w:w="0" w:type="dxa"/>
        <w:right w:w="0"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140" w:customStyle="1">
    <w:name w:val="Grid Table 6 Colorful - Accent 51"/>
    <w:uiPriority w:val="99"/>
    <w:tblPr>
      <w:tblStyleRowBandSize w:val="1"/>
      <w:tblStyleColBandSize w:val="1"/>
      <w:tblInd w:w="0" w:type="dxa"/>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CellMar>
        <w:left w:w="0" w:type="dxa"/>
        <w:top w:w="0" w:type="dxa"/>
        <w:right w:w="0" w:type="dxa"/>
        <w:bottom w:w="0" w:type="dxa"/>
      </w:tblCellMar>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12" w:space="0"/>
        </w:tcBorders>
      </w:tcPr>
    </w:tblStylePr>
    <w:tblStylePr w:type="lastCol">
      <w:rPr>
        <w:b/>
        <w:color w:val="245a8d"/>
      </w:rPr>
    </w:tblStylePr>
    <w:tblStylePr w:type="lastRow">
      <w:rPr>
        <w:b/>
        <w:color w:val="245a8d"/>
      </w:rPr>
    </w:tblStylePr>
  </w:style>
  <w:style w:type="table" w:styleId="1141" w:customStyle="1">
    <w:name w:val="List Table 4 - Accent 51"/>
    <w:uiPriority w:val="99"/>
    <w:tblPr>
      <w:tblStyleRowBandSize w:val="1"/>
      <w:tblStyleColBandSize w:val="1"/>
      <w:tblInd w:w="0" w:type="dxa"/>
      <w:tblBorders>
        <w:top w:val="single" w:color="A2C6E7" w:sz="4" w:space="0"/>
        <w:left w:val="single" w:color="A2C6E7" w:sz="4" w:space="0"/>
        <w:bottom w:val="single" w:color="A2C6E7" w:sz="4" w:space="0"/>
        <w:right w:val="single" w:color="A2C6E7" w:sz="4" w:space="0"/>
        <w:insideH w:val="single" w:color="A2C6E7" w:sz="4" w:space="0"/>
      </w:tblBorders>
      <w:tblCellMar>
        <w:left w:w="0" w:type="dxa"/>
        <w:top w:w="0" w:type="dxa"/>
        <w:right w:w="0"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142" w:customStyle="1">
    <w:name w:val="List Table 7 Colorful - Accent 31"/>
    <w:uiPriority w:val="99"/>
    <w:tblPr>
      <w:tblStyleRowBandSize w:val="1"/>
      <w:tblStyleColBandSize w:val="1"/>
      <w:tblInd w:w="0" w:type="dxa"/>
      <w:tblBorders>
        <w:right w:val="single" w:color="C9C9C9" w:sz="4" w:space="0"/>
      </w:tblBorders>
      <w:tblCellMar>
        <w:left w:w="0" w:type="dxa"/>
        <w:top w:w="0" w:type="dxa"/>
        <w:right w:w="0"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143" w:customStyle="1">
    <w:name w:val="Grid Table 6 Colorful - Accent 11"/>
    <w:uiPriority w:val="99"/>
    <w:tblPr>
      <w:tblStyleRowBandSize w:val="1"/>
      <w:tblStyleColBandSize w:val="1"/>
      <w:tblInd w:w="0" w:type="dxa"/>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CellMar>
        <w:left w:w="0" w:type="dxa"/>
        <w:top w:w="0" w:type="dxa"/>
        <w:right w:w="0" w:type="dxa"/>
        <w:bottom w:w="0" w:type="dxa"/>
      </w:tblCellMar>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table" w:styleId="1144" w:customStyle="1">
    <w:name w:val="List Table 7 Colorful - Accent 61"/>
    <w:uiPriority w:val="99"/>
    <w:tblPr>
      <w:tblStyleRowBandSize w:val="1"/>
      <w:tblStyleColBandSize w:val="1"/>
      <w:tblInd w:w="0" w:type="dxa"/>
      <w:tblBorders>
        <w:right w:val="single" w:color="A9D08E" w:sz="4" w:space="0"/>
      </w:tblBorders>
      <w:tblCellMar>
        <w:left w:w="0" w:type="dxa"/>
        <w:top w:w="0" w:type="dxa"/>
        <w:right w:w="0"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145" w:customStyle="1">
    <w:name w:val="List Table 2 - Accent 61"/>
    <w:uiPriority w:val="99"/>
    <w:tblPr>
      <w:tblStyleRowBandSize w:val="1"/>
      <w:tblStyleColBandSize w:val="1"/>
      <w:tblInd w:w="0" w:type="dxa"/>
      <w:tblBorders>
        <w:top w:val="single" w:color="ADD394" w:sz="4" w:space="0"/>
        <w:bottom w:val="single" w:color="ADD394" w:sz="4" w:space="0"/>
        <w:insideH w:val="single" w:color="ADD394" w:sz="4" w:space="0"/>
      </w:tblBorders>
      <w:tblCellMar>
        <w:left w:w="0" w:type="dxa"/>
        <w:top w:w="0" w:type="dxa"/>
        <w:right w:w="0"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146" w:customStyle="1">
    <w:name w:val="List Table 5 Dark - Accent 31"/>
    <w:uiPriority w:val="99"/>
    <w:tblPr>
      <w:tblStyleRowBandSize w:val="1"/>
      <w:tblStyleColBandSize w:val="1"/>
      <w:tblInd w:w="0" w:type="dxa"/>
      <w:tblBorders>
        <w:top w:val="single" w:color="C9C9C9" w:sz="32" w:space="0"/>
        <w:left w:val="single" w:color="C9C9C9" w:sz="32" w:space="0"/>
        <w:bottom w:val="single" w:color="C9C9C9" w:sz="32" w:space="0"/>
        <w:right w:val="single" w:color="C9C9C9" w:sz="32" w:space="0"/>
      </w:tblBorders>
      <w:shd w:val="clear" w:color="c9c9c9" w:fill="c9c9c9"/>
      <w:tblCellMar>
        <w:left w:w="0" w:type="dxa"/>
        <w:top w:w="0" w:type="dxa"/>
        <w:right w:w="0"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147" w:customStyle="1">
    <w:name w:val="Grid Table 2 - Accent 61"/>
    <w:uiPriority w:val="99"/>
    <w:tblPr>
      <w:tblStyleRowBandSize w:val="1"/>
      <w:tblStyleColBandSize w:val="1"/>
      <w:tblInd w:w="0" w:type="dxa"/>
      <w:tblBorders>
        <w:bottom w:val="single" w:color="70AD47" w:sz="4" w:space="0"/>
        <w:insideH w:val="single" w:color="70AD47" w:sz="4" w:space="0"/>
        <w:insideV w:val="single" w:color="70AD47" w:sz="4" w:space="0"/>
      </w:tblBorders>
      <w:tblCellMar>
        <w:left w:w="0" w:type="dxa"/>
        <w:top w:w="0" w:type="dxa"/>
        <w:right w:w="0"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148" w:customStyle="1">
    <w:name w:val="无格式表格 32"/>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9" w:customStyle="1">
    <w:name w:val="Grid Table 1 Light - Accent 51"/>
    <w:uiPriority w:val="99"/>
    <w:tblPr>
      <w:tblStyleRowBandSize w:val="1"/>
      <w:tblStyleColBandSize w:val="1"/>
      <w:tblInd w:w="0" w:type="dxa"/>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150" w:customStyle="1">
    <w:name w:val="清单表 32"/>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51" w:customStyle="1">
    <w:name w:val="Grid Table 5 Dark- Accent 4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ff2cb" w:fill="fff2cb"/>
      <w:tblCellMar>
        <w:left w:w="0" w:type="dxa"/>
        <w:top w:w="0" w:type="dxa"/>
        <w:right w:w="0" w:type="dxa"/>
        <w:bottom w:w="0" w:type="dxa"/>
      </w:tblCellMar>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152" w:customStyle="1">
    <w:name w:val="Bordered &amp; Lined - Accent 61"/>
    <w:uiPriority w:val="99"/>
    <w:rPr>
      <w:color w:val="404040"/>
    </w:rPr>
    <w:tblPr>
      <w:tblStyleRowBandSize w:val="1"/>
      <w:tblStyleColBandSize w:val="1"/>
      <w:tblInd w:w="0" w:type="dxa"/>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53" w:customStyle="1">
    <w:name w:val="Grid Table 3 - Accent 31"/>
    <w:uiPriority w:val="99"/>
    <w:tblPr>
      <w:tblStyleRowBandSize w:val="1"/>
      <w:tblStyleColBandSize w:val="1"/>
      <w:tblInd w:w="0" w:type="dxa"/>
      <w:tblBorders>
        <w:bottom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3 - Accent 21"/>
    <w:uiPriority w:val="99"/>
    <w:tblPr>
      <w:tblStyleRowBandSize w:val="1"/>
      <w:tblStyleColBandSize w:val="1"/>
      <w:tblInd w:w="0" w:type="dxa"/>
      <w:tblBorders>
        <w:bottom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5" w:customStyle="1">
    <w:name w:val="List Table 7 Colorful - Accent 51"/>
    <w:uiPriority w:val="99"/>
    <w:tblPr>
      <w:tblStyleRowBandSize w:val="1"/>
      <w:tblStyleColBandSize w:val="1"/>
      <w:tblInd w:w="0" w:type="dxa"/>
      <w:tblBorders>
        <w:right w:val="single" w:color="9BC2E5" w:sz="4" w:space="0"/>
      </w:tblBorders>
      <w:tblCellMar>
        <w:left w:w="0" w:type="dxa"/>
        <w:top w:w="0" w:type="dxa"/>
        <w:right w:w="0" w:type="dxa"/>
        <w:bottom w:w="0" w:type="dxa"/>
      </w:tblCellMar>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rFonts w:ascii="Arial" w:hAnsi="Arial"/>
        <w:i/>
        <w:color w:val="9b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b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b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b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character" w:styleId="1156" w:customStyle="1">
    <w:name w:val="正文缩进 字符1"/>
    <w:qFormat/>
    <w:rPr>
      <w:rFonts w:eastAsia="楷体_GB2312"/>
      <w:sz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一把飞快的钝刀</dc:creator>
  <cp:lastModifiedBy>张伟</cp:lastModifiedBy>
  <cp:revision>35</cp:revision>
  <dcterms:created xsi:type="dcterms:W3CDTF">2025-06-16T05:20:00Z</dcterms:created>
  <dcterms:modified xsi:type="dcterms:W3CDTF">2025-11-17T04:43:19Z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15AB3374A9D94C8B877F6830668456CE_13</vt:lpwstr>
  </property>
</Properties>
</file>